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WG meeting #</w:t>
      </w:r>
      <w:r>
        <w:rPr>
          <w:rFonts w:hint="eastAsia" w:ascii="Arial" w:hAnsi="Arial" w:cs="Arial"/>
          <w:b/>
          <w:bCs/>
          <w:sz w:val="22"/>
          <w:szCs w:val="22"/>
        </w:rPr>
        <w:t>102</w:t>
      </w:r>
      <w:r>
        <w:rPr>
          <w:rFonts w:ascii="Arial" w:hAnsi="Arial" w:cs="Arial"/>
          <w:b/>
          <w:bCs/>
          <w:sz w:val="22"/>
          <w:szCs w:val="22"/>
          <w:lang w:eastAsia="ja-JP"/>
        </w:rPr>
        <w:tab/>
      </w:r>
      <w:r>
        <w:rPr>
          <w:rFonts w:ascii="Arial" w:hAnsi="Arial" w:cs="Arial"/>
          <w:b/>
          <w:bCs/>
          <w:sz w:val="22"/>
          <w:szCs w:val="22"/>
          <w:lang w:eastAsia="ja-JP"/>
        </w:rPr>
        <w:tab/>
      </w:r>
      <w:r>
        <w:rPr>
          <w:rFonts w:ascii="Arial" w:hAnsi="Arial" w:cs="Arial"/>
          <w:b/>
          <w:bCs/>
          <w:sz w:val="22"/>
          <w:szCs w:val="22"/>
          <w:lang w:eastAsia="ja-JP"/>
        </w:rPr>
        <w:t xml:space="preserve">                                   RP-233618</w:t>
      </w:r>
    </w:p>
    <w:p>
      <w:pPr>
        <w:pStyle w:val="70"/>
        <w:spacing w:before="120" w:after="120"/>
        <w:rPr>
          <w:highlight w:val="yellow"/>
        </w:rPr>
      </w:pPr>
      <w:r>
        <w:fldChar w:fldCharType="begin"/>
      </w:r>
      <w:r>
        <w:instrText xml:space="preserve"> HYPERLINK "https://www.3gpp.org//Specification-Groups/" \t "https://www.3gpp.org/_blank" </w:instrText>
      </w:r>
      <w:r>
        <w:fldChar w:fldCharType="separate"/>
      </w:r>
      <w:r>
        <w:rPr>
          <w:rFonts w:hint="eastAsia"/>
        </w:rPr>
        <w:t>Edinburgh</w:t>
      </w:r>
      <w:r>
        <w:rPr>
          <w:rFonts w:hint="eastAsia"/>
        </w:rPr>
        <w:fldChar w:fldCharType="end"/>
      </w:r>
      <w:r>
        <w:rPr>
          <w:rFonts w:hint="eastAsia"/>
        </w:rPr>
        <w:t>, Scotland</w:t>
      </w:r>
      <w:r>
        <w:t>,</w:t>
      </w:r>
      <w:r>
        <w:rPr>
          <w:rFonts w:hint="eastAsia"/>
        </w:rPr>
        <w:t xml:space="preserve"> December </w:t>
      </w:r>
      <w:r>
        <w:t>1</w:t>
      </w:r>
      <w:r>
        <w:rPr>
          <w:rFonts w:hint="eastAsia"/>
        </w:rPr>
        <w:t>1</w:t>
      </w:r>
      <w:r>
        <w:t xml:space="preserve"> - 1</w:t>
      </w:r>
      <w:r>
        <w:rPr>
          <w:rFonts w:hint="eastAsia"/>
        </w:rPr>
        <w:t>5</w:t>
      </w:r>
      <w:r>
        <w:t>, 2023</w:t>
      </w:r>
    </w:p>
    <w:p>
      <w:pPr>
        <w:tabs>
          <w:tab w:val="center" w:pos="4536"/>
          <w:tab w:val="right" w:pos="9072"/>
        </w:tabs>
        <w:spacing w:before="120" w:after="0" w:afterLines="0" w:line="260" w:lineRule="auto"/>
        <w:rPr>
          <w:rFonts w:ascii="Arial" w:hAnsi="Arial" w:cs="Arial"/>
          <w:b/>
          <w:bCs/>
          <w:sz w:val="22"/>
          <w:szCs w:val="22"/>
        </w:rPr>
      </w:pPr>
    </w:p>
    <w:p>
      <w:pPr>
        <w:tabs>
          <w:tab w:val="left" w:pos="1985"/>
        </w:tabs>
        <w:spacing w:beforeLines="0" w:after="120" w:line="260" w:lineRule="auto"/>
        <w:ind w:left="1984" w:hanging="1984"/>
        <w:rPr>
          <w:rFonts w:ascii="Arial" w:hAnsi="Arial"/>
          <w:b/>
          <w:sz w:val="22"/>
          <w:szCs w:val="22"/>
          <w:highlight w:val="yellow"/>
        </w:rPr>
      </w:pPr>
      <w:r>
        <w:rPr>
          <w:rFonts w:ascii="Arial" w:hAnsi="Arial"/>
          <w:b/>
          <w:sz w:val="22"/>
          <w:szCs w:val="22"/>
          <w:highlight w:val="none"/>
        </w:rPr>
        <w:t xml:space="preserve">Title: </w:t>
      </w:r>
      <w:r>
        <w:rPr>
          <w:rFonts w:ascii="Arial" w:hAnsi="Arial"/>
          <w:b/>
          <w:sz w:val="22"/>
          <w:szCs w:val="22"/>
          <w:highlight w:val="none"/>
        </w:rPr>
        <w:tab/>
      </w:r>
      <w:r>
        <w:rPr>
          <w:rFonts w:ascii="Arial" w:hAnsi="Arial"/>
          <w:b/>
          <w:sz w:val="22"/>
          <w:szCs w:val="22"/>
        </w:rPr>
        <w:t>Views on Rel-19 multi-modal and XR evolution</w:t>
      </w:r>
    </w:p>
    <w:p>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 Sanechips</w:t>
      </w:r>
    </w:p>
    <w:p>
      <w:pPr>
        <w:tabs>
          <w:tab w:val="left" w:pos="1985"/>
        </w:tabs>
        <w:spacing w:before="120" w:after="120"/>
        <w:rPr>
          <w:b/>
          <w:sz w:val="20"/>
          <w:szCs w:val="22"/>
          <w:highlight w:val="yellow"/>
        </w:rPr>
      </w:pPr>
      <w:r>
        <w:rPr>
          <w:rFonts w:ascii="Arial" w:hAnsi="Arial"/>
          <w:b/>
          <w:sz w:val="22"/>
          <w:szCs w:val="22"/>
          <w:highlight w:val="none"/>
          <w:lang w:val="pt-BR"/>
        </w:rPr>
        <w:t>Agenda item:</w:t>
      </w:r>
      <w:r>
        <w:rPr>
          <w:rFonts w:ascii="Arial" w:hAnsi="Arial"/>
          <w:b/>
          <w:sz w:val="22"/>
          <w:szCs w:val="22"/>
          <w:highlight w:val="none"/>
          <w:lang w:val="pt-BR"/>
        </w:rPr>
        <w:tab/>
      </w:r>
      <w:r>
        <w:rPr>
          <w:rFonts w:ascii="Arial" w:hAnsi="Arial"/>
          <w:b/>
          <w:sz w:val="22"/>
          <w:szCs w:val="22"/>
          <w:lang w:val="pt-BR"/>
        </w:rPr>
        <w:t>9.1.2.2</w:t>
      </w:r>
    </w:p>
    <w:p>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r>
        <w:rPr>
          <w:rFonts w:hint="eastAsia" w:eastAsia="宋体"/>
        </w:rPr>
        <w:t>Introduction</w:t>
      </w:r>
    </w:p>
    <w:p>
      <w:pPr>
        <w:spacing w:before="120" w:after="120"/>
        <w:rPr>
          <w:szCs w:val="21"/>
        </w:rPr>
      </w:pPr>
      <w:r>
        <w:rPr>
          <w:rFonts w:hint="eastAsia"/>
          <w:szCs w:val="21"/>
        </w:rPr>
        <w:t>During Rel-17 XR study item, traffic modeling of video stream in XR service and baseline evaluation of capacity, power consumption, coverage and mobility are studied and captured in [1]. Based on the evaluations in Rel-17 XR study item, the capacity enhancement, power saving enhancement and XR awareness are studied and specified in Rel-18 [2]. In the meanwhile, the use case</w:t>
      </w:r>
      <w:r>
        <w:rPr>
          <w:szCs w:val="21"/>
        </w:rPr>
        <w:t>s</w:t>
      </w:r>
      <w:r>
        <w:rPr>
          <w:rFonts w:hint="eastAsia"/>
          <w:szCs w:val="21"/>
        </w:rPr>
        <w:t xml:space="preserve"> for metaverse and multi-modality are identified </w:t>
      </w:r>
      <w:r>
        <w:rPr>
          <w:szCs w:val="21"/>
        </w:rPr>
        <w:t>by</w:t>
      </w:r>
      <w:r>
        <w:rPr>
          <w:rFonts w:hint="eastAsia"/>
          <w:szCs w:val="21"/>
        </w:rPr>
        <w:t xml:space="preserve"> SA, which </w:t>
      </w:r>
      <w:r>
        <w:rPr>
          <w:szCs w:val="21"/>
        </w:rPr>
        <w:t>are</w:t>
      </w:r>
      <w:r>
        <w:rPr>
          <w:rFonts w:hint="eastAsia"/>
          <w:szCs w:val="21"/>
        </w:rPr>
        <w:t xml:space="preserve"> captured in TR22.856 [3] and TR22.847 [4]. </w:t>
      </w:r>
    </w:p>
    <w:p>
      <w:pPr>
        <w:spacing w:before="120" w:after="120"/>
      </w:pPr>
      <w:r>
        <w:rPr>
          <w:rFonts w:hint="eastAsia"/>
        </w:rPr>
        <w:t>Based on the XR standardization process mentioned above, companies have interests in following directions for further XR evolution in [5].</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74"/>
              <w:numPr>
                <w:ilvl w:val="0"/>
                <w:numId w:val="6"/>
              </w:numPr>
              <w:spacing w:before="120" w:after="120"/>
              <w:ind w:left="420" w:leftChars="0" w:hanging="420" w:firstLineChars="0"/>
            </w:pPr>
            <w:r>
              <w:rPr>
                <w:rFonts w:hint="eastAsia"/>
              </w:rPr>
              <w:t xml:space="preserve">Study and if justified, specify aspects related to multi-modality(intra-UE)/multi-QoS flow (intra-UE) (with coordination with SA2/SA4), and other aspects requiring coordination w/ SA initiated work as necessary (e.g., SA2/SA4 task list which may potential have RAN impact) </w:t>
            </w:r>
          </w:p>
          <w:p>
            <w:pPr>
              <w:pStyle w:val="74"/>
              <w:numPr>
                <w:ilvl w:val="0"/>
                <w:numId w:val="6"/>
              </w:numPr>
              <w:spacing w:before="120" w:after="120"/>
              <w:ind w:left="420" w:leftChars="0" w:hanging="420" w:firstLineChars="0"/>
            </w:pPr>
            <w:r>
              <w:rPr>
                <w:rFonts w:hint="eastAsia"/>
              </w:rPr>
              <w:t>Measurement Gaps / Scheduling restrictions: Specify enhancements for reducing the impact to capacity and impact to individual UEs with respect to scheduling restrictions for FR1 and FR2 inter-frequency RRM measurements with measurement gaps and FR2 intra-frequency measurements w/o measurement gaps. [RAN1, RAN2, RAN4].</w:t>
            </w:r>
            <w:r>
              <w:t xml:space="preserve"> </w:t>
            </w:r>
          </w:p>
          <w:p>
            <w:pPr>
              <w:pStyle w:val="74"/>
              <w:numPr>
                <w:ilvl w:val="0"/>
                <w:numId w:val="6"/>
              </w:numPr>
              <w:spacing w:before="120" w:after="120"/>
              <w:ind w:left="420" w:leftChars="0" w:hanging="420" w:firstLineChars="0"/>
            </w:pPr>
            <w:r>
              <w:rPr>
                <w:rFonts w:hint="eastAsia"/>
              </w:rPr>
              <w:t xml:space="preserve">UTO-UCI: support multiple CG config </w:t>
            </w:r>
          </w:p>
          <w:p>
            <w:pPr>
              <w:pStyle w:val="74"/>
              <w:numPr>
                <w:ilvl w:val="0"/>
                <w:numId w:val="6"/>
              </w:numPr>
              <w:spacing w:before="120" w:after="120"/>
              <w:ind w:left="420" w:leftChars="0" w:hanging="420" w:firstLineChars="0"/>
            </w:pPr>
            <w:r>
              <w:rPr>
                <w:rFonts w:hint="eastAsia"/>
              </w:rPr>
              <w:t>CQI/CSI link adaption enhancement</w:t>
            </w:r>
          </w:p>
          <w:p>
            <w:pPr>
              <w:pStyle w:val="74"/>
              <w:numPr>
                <w:ilvl w:val="0"/>
                <w:numId w:val="7"/>
              </w:numPr>
              <w:tabs>
                <w:tab w:val="clear" w:pos="420"/>
              </w:tabs>
              <w:spacing w:before="120" w:after="120"/>
              <w:ind w:left="840" w:leftChars="0" w:hanging="420" w:firstLineChars="0"/>
            </w:pPr>
            <w:r>
              <w:rPr>
                <w:rFonts w:hint="eastAsia"/>
              </w:rPr>
              <w:t>FFS exact scope: PDSCH reception based, Traffic related, Soft-HARQ</w:t>
            </w:r>
          </w:p>
          <w:p>
            <w:pPr>
              <w:pStyle w:val="74"/>
              <w:numPr>
                <w:ilvl w:val="0"/>
                <w:numId w:val="7"/>
              </w:numPr>
              <w:tabs>
                <w:tab w:val="clear" w:pos="420"/>
              </w:tabs>
              <w:spacing w:before="120" w:after="120"/>
              <w:ind w:left="840" w:leftChars="0" w:hanging="420" w:firstLineChars="0"/>
            </w:pPr>
            <w:r>
              <w:rPr>
                <w:rFonts w:hint="eastAsia"/>
              </w:rPr>
              <w:t xml:space="preserve">FFS CBG enh. </w:t>
            </w:r>
          </w:p>
          <w:p>
            <w:pPr>
              <w:pStyle w:val="74"/>
              <w:numPr>
                <w:ilvl w:val="0"/>
                <w:numId w:val="6"/>
              </w:numPr>
              <w:spacing w:before="120" w:after="120"/>
              <w:ind w:left="420" w:leftChars="0" w:hanging="420" w:firstLineChars="0"/>
            </w:pPr>
            <w:r>
              <w:rPr>
                <w:rFonts w:hint="eastAsia"/>
              </w:rPr>
              <w:t>Delay aware / Delay adaptive (remaining time) scheduling</w:t>
            </w:r>
          </w:p>
        </w:tc>
      </w:tr>
    </w:tbl>
    <w:p>
      <w:pPr>
        <w:spacing w:before="120" w:after="120"/>
      </w:pPr>
      <w:r>
        <w:rPr>
          <w:rFonts w:hint="eastAsia"/>
        </w:rPr>
        <w:t>In this paper, we continue to discuss the potential direction for Rel-19 XR, including e.g., multi-modality enhancement and Rel-18 leftover enhancement</w:t>
      </w:r>
      <w:r>
        <w:t>s</w:t>
      </w:r>
      <w:r>
        <w:rPr>
          <w:rFonts w:hint="eastAsia"/>
        </w:rPr>
        <w:t xml:space="preserve"> (e.g., measurement gap, UTO-UCI enhancement and others).</w:t>
      </w:r>
    </w:p>
    <w:p>
      <w:pPr>
        <w:pStyle w:val="2"/>
        <w:spacing w:before="120" w:after="120"/>
        <w:ind w:left="0"/>
      </w:pPr>
      <w:r>
        <w:rPr>
          <w:rFonts w:hint="eastAsia" w:eastAsia="宋体"/>
        </w:rPr>
        <w:t>Multi-modality enhancement</w:t>
      </w:r>
    </w:p>
    <w:p>
      <w:pPr>
        <w:pStyle w:val="3"/>
        <w:spacing w:before="120" w:after="120"/>
        <w:ind w:left="991" w:right="210" w:hanging="991" w:hangingChars="354"/>
      </w:pPr>
      <w:r>
        <w:rPr>
          <w:rFonts w:eastAsia="宋体"/>
        </w:rPr>
        <w:t>O</w:t>
      </w:r>
      <w:r>
        <w:rPr>
          <w:rFonts w:hint="eastAsia" w:eastAsia="宋体"/>
        </w:rPr>
        <w:t>verview</w:t>
      </w:r>
    </w:p>
    <w:p>
      <w:pPr>
        <w:spacing w:before="120" w:after="120"/>
      </w:pPr>
      <w:r>
        <w:rPr>
          <w:rFonts w:hint="eastAsia"/>
        </w:rPr>
        <w:t>According to TR22.856 [3] and TR22.847 [4], the following typical use cases are identified in Figure 1.</w:t>
      </w:r>
    </w:p>
    <w:p>
      <w:pPr>
        <w:spacing w:before="120" w:after="120"/>
        <w:jc w:val="center"/>
      </w:pPr>
      <w:r>
        <w:drawing>
          <wp:inline distT="0" distB="0" distL="114300" distR="114300">
            <wp:extent cx="6020435" cy="3481070"/>
            <wp:effectExtent l="0" t="0" r="18415"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6020435" cy="3481070"/>
                    </a:xfrm>
                    <a:prstGeom prst="rect">
                      <a:avLst/>
                    </a:prstGeom>
                    <a:noFill/>
                    <a:ln>
                      <a:noFill/>
                    </a:ln>
                  </pic:spPr>
                </pic:pic>
              </a:graphicData>
            </a:graphic>
          </wp:inline>
        </w:drawing>
      </w:r>
    </w:p>
    <w:p>
      <w:pPr>
        <w:spacing w:before="120" w:after="120"/>
        <w:jc w:val="center"/>
        <w:rPr>
          <w:rFonts w:hint="eastAsia" w:eastAsia="宋体"/>
          <w:lang w:val="en-US" w:eastAsia="zh-CN"/>
        </w:rPr>
      </w:pPr>
      <w:r>
        <w:rPr>
          <w:rFonts w:hint="eastAsia"/>
        </w:rPr>
        <w:t>Figure 1 Typical use case</w:t>
      </w:r>
      <w:r>
        <w:t>s</w:t>
      </w:r>
      <w:r>
        <w:rPr>
          <w:rFonts w:hint="eastAsia"/>
        </w:rPr>
        <w:t xml:space="preserve"> for metaverse and multi-modality</w:t>
      </w:r>
      <w:r>
        <w:rPr>
          <w:rFonts w:hint="eastAsia"/>
          <w:lang w:val="en-US" w:eastAsia="zh-CN"/>
        </w:rPr>
        <w:t>.</w:t>
      </w:r>
    </w:p>
    <w:p>
      <w:pPr>
        <w:spacing w:before="120" w:after="120"/>
      </w:pPr>
      <w:r>
        <w:rPr>
          <w:rFonts w:hint="eastAsia"/>
        </w:rPr>
        <w:t xml:space="preserve">In the future, single interaction method (e.g., only vision interaction) would not meet the requirement of deep immersion from the perspective of UE experience. To this regard, multi-modal interaction </w:t>
      </w:r>
      <w:r>
        <w:t>is</w:t>
      </w:r>
      <w:r>
        <w:rPr>
          <w:rFonts w:hint="eastAsia"/>
        </w:rPr>
        <w:t xml:space="preserve"> expected to further improve </w:t>
      </w:r>
      <w:r>
        <w:t xml:space="preserve">the </w:t>
      </w:r>
      <w:r>
        <w:rPr>
          <w:rFonts w:hint="eastAsia"/>
        </w:rPr>
        <w:t xml:space="preserve">immersion experience of XR/metaverse/multi-modality service. Apart from video, haptic or tactile </w:t>
      </w:r>
      <w:r>
        <w:t xml:space="preserve">data </w:t>
      </w:r>
      <w:r>
        <w:rPr>
          <w:rFonts w:hint="eastAsia"/>
        </w:rPr>
        <w:t>becomes another critical traffic. Therefore, multi-flow use cases (e.g., video stream and haptic stream) for single</w:t>
      </w:r>
      <w:r>
        <w:rPr>
          <w:rFonts w:hint="eastAsia"/>
          <w:lang w:val="en-US" w:eastAsia="zh-CN"/>
        </w:rPr>
        <w:t xml:space="preserve"> </w:t>
      </w:r>
      <w:r>
        <w:rPr>
          <w:rFonts w:hint="eastAsia"/>
          <w:highlight w:val="none"/>
        </w:rPr>
        <w:t>UE</w:t>
      </w:r>
      <w:r>
        <w:rPr>
          <w:rFonts w:hint="eastAsia"/>
        </w:rPr>
        <w:t xml:space="preserve"> is one of typical use cases for XR/metaverse/multi-modality services.</w:t>
      </w:r>
    </w:p>
    <w:p>
      <w:pPr>
        <w:pStyle w:val="3"/>
        <w:spacing w:before="120" w:after="120"/>
        <w:ind w:left="991" w:right="210" w:hanging="991" w:hangingChars="354"/>
      </w:pPr>
      <w:r>
        <w:rPr>
          <w:rFonts w:hint="eastAsia" w:eastAsia="宋体"/>
        </w:rPr>
        <w:t>Multi-modality awareness in RAN</w:t>
      </w:r>
    </w:p>
    <w:p>
      <w:pPr>
        <w:spacing w:before="120" w:after="120"/>
      </w:pPr>
      <w:r>
        <w:rPr>
          <w:rFonts w:hint="eastAsia"/>
        </w:rPr>
        <w:t>First of all, we think multi-modality awareness in RAN will be primary requirement for XR/metaverse/multi-modality services due to different QoSs (including e.g., packet error rate and packet delay budget) for different flows. Taking multi-flow transmission (e.g., video stream and haptic stream transmission) for example, the QoSs for video stream and haptic stream are shown in Table 1, respectively, according to TR22.856 [3] and TR22.847 [4].</w:t>
      </w:r>
    </w:p>
    <w:p>
      <w:pPr>
        <w:spacing w:before="120" w:after="120"/>
        <w:jc w:val="center"/>
      </w:pPr>
      <w:r>
        <w:rPr>
          <w:rFonts w:hint="eastAsia"/>
        </w:rPr>
        <w:t>Table 1: PSR and PDB for video stream and haptic stream.</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1"/>
        <w:gridCol w:w="2518"/>
        <w:gridCol w:w="2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821" w:type="dxa"/>
          </w:tcPr>
          <w:p>
            <w:pPr>
              <w:spacing w:before="120" w:after="120"/>
              <w:jc w:val="center"/>
              <w:rPr>
                <w:b/>
                <w:bCs/>
              </w:rPr>
            </w:pPr>
            <w:r>
              <w:rPr>
                <w:rFonts w:hint="eastAsia"/>
                <w:b/>
                <w:bCs/>
              </w:rPr>
              <w:t>Traffic</w:t>
            </w:r>
          </w:p>
        </w:tc>
        <w:tc>
          <w:tcPr>
            <w:tcW w:w="2518" w:type="dxa"/>
          </w:tcPr>
          <w:p>
            <w:pPr>
              <w:spacing w:before="120" w:after="120"/>
              <w:jc w:val="center"/>
              <w:rPr>
                <w:b/>
                <w:bCs/>
              </w:rPr>
            </w:pPr>
            <w:r>
              <w:rPr>
                <w:rFonts w:hint="eastAsia"/>
                <w:b/>
                <w:bCs/>
              </w:rPr>
              <w:t>Packet success rate</w:t>
            </w:r>
          </w:p>
        </w:tc>
        <w:tc>
          <w:tcPr>
            <w:tcW w:w="2443" w:type="dxa"/>
          </w:tcPr>
          <w:p>
            <w:pPr>
              <w:spacing w:before="120" w:after="120"/>
              <w:jc w:val="center"/>
              <w:rPr>
                <w:b/>
                <w:bCs/>
              </w:rPr>
            </w:pPr>
            <w:r>
              <w:rPr>
                <w:rFonts w:hint="eastAsia"/>
                <w:b/>
                <w:bCs/>
              </w:rPr>
              <w:t>Packet delay budget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1" w:type="dxa"/>
          </w:tcPr>
          <w:p>
            <w:pPr>
              <w:spacing w:before="120" w:after="120"/>
            </w:pPr>
            <w:r>
              <w:rPr>
                <w:rFonts w:hint="eastAsia"/>
              </w:rPr>
              <w:t>Video stream</w:t>
            </w:r>
          </w:p>
        </w:tc>
        <w:tc>
          <w:tcPr>
            <w:tcW w:w="2518" w:type="dxa"/>
          </w:tcPr>
          <w:p>
            <w:pPr>
              <w:spacing w:before="120" w:after="120"/>
              <w:jc w:val="center"/>
            </w:pPr>
            <w:r>
              <w:rPr>
                <w:rFonts w:hint="eastAsia"/>
              </w:rPr>
              <w:t>99%</w:t>
            </w:r>
          </w:p>
        </w:tc>
        <w:tc>
          <w:tcPr>
            <w:tcW w:w="2443" w:type="dxa"/>
          </w:tcPr>
          <w:p>
            <w:pPr>
              <w:spacing w:before="120" w:after="120"/>
              <w:jc w:val="center"/>
            </w:pPr>
            <w:r>
              <w:rPr>
                <w:rFonts w:hint="eastAsia"/>
              </w:rPr>
              <w:t>10ms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1" w:type="dxa"/>
          </w:tcPr>
          <w:p>
            <w:pPr>
              <w:spacing w:before="120" w:after="120"/>
            </w:pPr>
            <w:r>
              <w:rPr>
                <w:rFonts w:hint="eastAsia"/>
              </w:rPr>
              <w:t>Haptic stream</w:t>
            </w:r>
          </w:p>
        </w:tc>
        <w:tc>
          <w:tcPr>
            <w:tcW w:w="2518" w:type="dxa"/>
          </w:tcPr>
          <w:p>
            <w:pPr>
              <w:spacing w:before="120" w:after="120"/>
              <w:jc w:val="center"/>
            </w:pPr>
            <w:r>
              <w:rPr>
                <w:rFonts w:hint="eastAsia"/>
              </w:rPr>
              <w:t>99.9%~99.999%</w:t>
            </w:r>
          </w:p>
        </w:tc>
        <w:tc>
          <w:tcPr>
            <w:tcW w:w="2443" w:type="dxa"/>
          </w:tcPr>
          <w:p>
            <w:pPr>
              <w:spacing w:before="120" w:after="120"/>
              <w:jc w:val="center"/>
            </w:pPr>
            <w:r>
              <w:rPr>
                <w:rFonts w:hint="eastAsia"/>
              </w:rPr>
              <w:t>5ms</w:t>
            </w:r>
          </w:p>
        </w:tc>
      </w:tr>
    </w:tbl>
    <w:p>
      <w:pPr>
        <w:spacing w:before="120" w:after="120"/>
      </w:pPr>
      <w:r>
        <w:rPr>
          <w:rFonts w:hint="eastAsia"/>
        </w:rPr>
        <w:t>Besides, haptic devices always include multiple sensors, where haptic packet in each sensor arrives randomly, following e.g., generalized Pareto distribution [3]. The haptic devices integrate all the sensors, resulting in dense and variable aggregated packet size due to different packet arrival of each sensor. According to TR22.856 [3] and TR22.847 [4], two optional multi-flow models (i.e., Haptic + video model) are identified in Figure 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8"/>
        <w:gridCol w:w="4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5" w:type="dxa"/>
          </w:tcPr>
          <w:p>
            <w:pPr>
              <w:spacing w:before="120" w:after="120"/>
              <w:rPr>
                <w:strike/>
              </w:rPr>
            </w:pPr>
            <w:r>
              <w:rPr>
                <w:strike/>
              </w:rPr>
              <w:drawing>
                <wp:inline distT="0" distB="0" distL="114300" distR="114300">
                  <wp:extent cx="2995295" cy="1751965"/>
                  <wp:effectExtent l="0" t="0" r="14605" b="635"/>
                  <wp:docPr id="9" name="图片 2"/>
                  <wp:cNvGraphicFramePr/>
                  <a:graphic xmlns:a="http://schemas.openxmlformats.org/drawingml/2006/main">
                    <a:graphicData uri="http://schemas.openxmlformats.org/drawingml/2006/picture">
                      <pic:pic xmlns:pic="http://schemas.openxmlformats.org/drawingml/2006/picture">
                        <pic:nvPicPr>
                          <pic:cNvPr id="9" name="图片 2"/>
                          <pic:cNvPicPr/>
                        </pic:nvPicPr>
                        <pic:blipFill>
                          <a:blip r:embed="rId13"/>
                          <a:stretch>
                            <a:fillRect/>
                          </a:stretch>
                        </pic:blipFill>
                        <pic:spPr>
                          <a:xfrm>
                            <a:off x="0" y="0"/>
                            <a:ext cx="2995295" cy="1751965"/>
                          </a:xfrm>
                          <a:prstGeom prst="rect">
                            <a:avLst/>
                          </a:prstGeom>
                          <a:noFill/>
                          <a:ln>
                            <a:noFill/>
                          </a:ln>
                        </pic:spPr>
                      </pic:pic>
                    </a:graphicData>
                  </a:graphic>
                </wp:inline>
              </w:drawing>
            </w:r>
          </w:p>
        </w:tc>
        <w:tc>
          <w:tcPr>
            <w:tcW w:w="4779" w:type="dxa"/>
          </w:tcPr>
          <w:p>
            <w:pPr>
              <w:spacing w:before="120" w:after="120"/>
              <w:rPr>
                <w:strike/>
              </w:rPr>
            </w:pPr>
            <w:r>
              <w:rPr>
                <w:strike/>
              </w:rPr>
              <w:drawing>
                <wp:inline distT="0" distB="0" distL="114300" distR="114300">
                  <wp:extent cx="2995295" cy="1765300"/>
                  <wp:effectExtent l="0" t="0" r="14605" b="6350"/>
                  <wp:docPr id="10" name="图片 4"/>
                  <wp:cNvGraphicFramePr/>
                  <a:graphic xmlns:a="http://schemas.openxmlformats.org/drawingml/2006/main">
                    <a:graphicData uri="http://schemas.openxmlformats.org/drawingml/2006/picture">
                      <pic:pic xmlns:pic="http://schemas.openxmlformats.org/drawingml/2006/picture">
                        <pic:nvPicPr>
                          <pic:cNvPr id="10" name="图片 4"/>
                          <pic:cNvPicPr/>
                        </pic:nvPicPr>
                        <pic:blipFill>
                          <a:blip r:embed="rId14"/>
                          <a:stretch>
                            <a:fillRect/>
                          </a:stretch>
                        </pic:blipFill>
                        <pic:spPr>
                          <a:xfrm>
                            <a:off x="0" y="0"/>
                            <a:ext cx="2995295" cy="17653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5" w:type="dxa"/>
            <w:vAlign w:val="center"/>
          </w:tcPr>
          <w:p>
            <w:pPr>
              <w:spacing w:before="120" w:after="120"/>
              <w:jc w:val="center"/>
            </w:pPr>
            <w:r>
              <w:rPr>
                <w:rFonts w:hint="eastAsia"/>
              </w:rPr>
              <w:t>Option 1: Single sensor haptic and video</w:t>
            </w:r>
          </w:p>
        </w:tc>
        <w:tc>
          <w:tcPr>
            <w:tcW w:w="4779" w:type="dxa"/>
            <w:vAlign w:val="center"/>
          </w:tcPr>
          <w:p>
            <w:pPr>
              <w:spacing w:before="120" w:after="120"/>
              <w:jc w:val="center"/>
            </w:pPr>
            <w:r>
              <w:rPr>
                <w:rFonts w:hint="eastAsia"/>
              </w:rPr>
              <w:t>Option 2: multiple sensors (e.g., 4 sensors) haptic and video</w:t>
            </w:r>
          </w:p>
        </w:tc>
      </w:tr>
    </w:tbl>
    <w:p>
      <w:pPr>
        <w:spacing w:before="120" w:after="120"/>
        <w:jc w:val="center"/>
        <w:rPr>
          <w:rFonts w:hint="eastAsia" w:eastAsia="宋体"/>
          <w:lang w:val="en-US" w:eastAsia="zh-CN"/>
        </w:rPr>
      </w:pPr>
      <w:r>
        <w:rPr>
          <w:rFonts w:hint="eastAsia"/>
        </w:rPr>
        <w:t xml:space="preserve">Figure 2 </w:t>
      </w:r>
      <w:r>
        <w:rPr>
          <w:rFonts w:hint="eastAsia"/>
          <w:lang w:val="en-US" w:eastAsia="zh-CN"/>
        </w:rPr>
        <w:t>T</w:t>
      </w:r>
      <w:r>
        <w:rPr>
          <w:rFonts w:hint="eastAsia"/>
        </w:rPr>
        <w:t>wo options for haptic and video traffic modeling</w:t>
      </w:r>
      <w:r>
        <w:rPr>
          <w:rFonts w:hint="eastAsia"/>
          <w:lang w:val="en-US" w:eastAsia="zh-CN"/>
        </w:rPr>
        <w:t>.</w:t>
      </w:r>
    </w:p>
    <w:p>
      <w:pPr>
        <w:spacing w:before="120" w:after="120"/>
      </w:pPr>
      <w:r>
        <w:rPr>
          <w:rFonts w:hint="eastAsia"/>
        </w:rPr>
        <w:t xml:space="preserve">In summary, haptic traffic in Option 1 is aperiodic and fixed packet size, while haptic stream in Option 2 is almost periodic and variable packet size. </w:t>
      </w:r>
    </w:p>
    <w:p>
      <w:pPr>
        <w:spacing w:before="120" w:after="120"/>
      </w:pPr>
      <w:r>
        <w:rPr>
          <w:rFonts w:hint="eastAsia"/>
        </w:rPr>
        <w:t xml:space="preserve">Based on different QoSs for video stream and haptic stream, absence of multi-modality awareness in RAN leads to indiscriminate scheduling, resulting in low resource efficiency and capacity performance loss. </w:t>
      </w:r>
    </w:p>
    <w:p>
      <w:pPr>
        <w:spacing w:before="120" w:after="120"/>
      </w:pPr>
      <w:r>
        <w:rPr>
          <w:rFonts w:hint="eastAsia"/>
        </w:rPr>
        <w:t xml:space="preserve">The following simulation results based on Option 2 traffic modeling show the capacity comparison between no multi-modality awareness in RAN (i.e., Without. Awareness in Figure 3) and multi-modality awareness in RAN (i.e., With. awareness in Figure 3). Simulation results justify that with multi-modality awareness in RAN, capacity performance can be improved significantly.   </w:t>
      </w:r>
    </w:p>
    <w:p>
      <w:pPr>
        <w:spacing w:before="120" w:after="120"/>
        <w:jc w:val="center"/>
      </w:pPr>
      <w:r>
        <w:drawing>
          <wp:inline distT="0" distB="0" distL="114300" distR="114300">
            <wp:extent cx="3580765" cy="2685415"/>
            <wp:effectExtent l="0" t="0" r="0" b="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5"/>
                    <a:stretch>
                      <a:fillRect/>
                    </a:stretch>
                  </pic:blipFill>
                  <pic:spPr>
                    <a:xfrm>
                      <a:off x="0" y="0"/>
                      <a:ext cx="3580765" cy="2685415"/>
                    </a:xfrm>
                    <a:prstGeom prst="rect">
                      <a:avLst/>
                    </a:prstGeom>
                    <a:noFill/>
                    <a:ln>
                      <a:noFill/>
                    </a:ln>
                  </pic:spPr>
                </pic:pic>
              </a:graphicData>
            </a:graphic>
          </wp:inline>
        </w:drawing>
      </w:r>
    </w:p>
    <w:p>
      <w:pPr>
        <w:spacing w:before="120" w:after="120"/>
        <w:jc w:val="center"/>
      </w:pPr>
      <w:r>
        <w:rPr>
          <w:rFonts w:hint="eastAsia"/>
        </w:rPr>
        <w:t>Figure 3 Capacity comparison between no multi-modality awareness in RAN (i.e., Without. Awareness) and multi-modality awareness in RAN (i.e., With. awareness)</w:t>
      </w:r>
    </w:p>
    <w:p>
      <w:pPr>
        <w:pStyle w:val="58"/>
        <w:spacing w:before="120" w:after="120"/>
        <w:jc w:val="both"/>
        <w:rPr>
          <w:lang w:val="en-US" w:eastAsia="zh-CN"/>
        </w:rPr>
      </w:pPr>
      <w:bookmarkStart w:id="0" w:name="_Toc8673"/>
      <w:r>
        <w:rPr>
          <w:rFonts w:hint="eastAsia"/>
          <w:lang w:val="en-US" w:eastAsia="zh-CN"/>
        </w:rPr>
        <w:t xml:space="preserve">Multi-modality awareness should be considered for </w:t>
      </w:r>
      <w:r>
        <w:rPr>
          <w:lang w:val="en-US" w:eastAsia="zh-CN"/>
        </w:rPr>
        <w:t>XR</w:t>
      </w:r>
      <w:r>
        <w:rPr>
          <w:rFonts w:hint="eastAsia"/>
          <w:lang w:val="en-US" w:eastAsia="zh-CN"/>
        </w:rPr>
        <w:t xml:space="preserve"> enhancement</w:t>
      </w:r>
      <w:r>
        <w:rPr>
          <w:lang w:val="en-US" w:eastAsia="zh-CN"/>
        </w:rPr>
        <w:t xml:space="preserve"> in Rel-19</w:t>
      </w:r>
      <w:r>
        <w:rPr>
          <w:rFonts w:hint="eastAsia"/>
          <w:lang w:val="en-US" w:eastAsia="zh-CN"/>
        </w:rPr>
        <w:t>.</w:t>
      </w:r>
      <w:bookmarkEnd w:id="0"/>
    </w:p>
    <w:p>
      <w:pPr>
        <w:spacing w:before="120" w:after="120"/>
      </w:pPr>
      <w:r>
        <w:rPr>
          <w:rFonts w:hint="eastAsia"/>
        </w:rPr>
        <w:t xml:space="preserve">In addition, </w:t>
      </w:r>
      <w:r>
        <w:t xml:space="preserve">with regards to interaction between SA/CT and RAN for multi-modality support, </w:t>
      </w:r>
      <w:r>
        <w:rPr>
          <w:rFonts w:hint="eastAsia"/>
        </w:rPr>
        <w:t>RAN can firstly study which information is helpful for performance improvement in multi-modality and then ask SA</w:t>
      </w:r>
      <w:r>
        <w:t>/CT</w:t>
      </w:r>
      <w:r>
        <w:rPr>
          <w:rFonts w:hint="eastAsia"/>
        </w:rPr>
        <w:t xml:space="preserve"> whether we can obtain this kind of information by LS.</w:t>
      </w:r>
      <w:r>
        <w:t xml:space="preserve"> It should be noted that the source of such assistance information may be different for UL and DL. In case of DL, the information needs to be obtained and transmitted by a CN node. Here, SA/CT involvement is required and this work can be done using some interaction between SA/CT and RAN once the study on the useful information is stable. On the other hand, regardless of the DL assistance information, assistance information for UL can always be provided by UE to RAN directly. The question is whether we leave it up to UE implementation (in which case no additional work is needed in SA//CT groups) or if some specification work is needed for this (e.g. to specify NAS level TFT filters etc to generate the UL multi-modality related assistance information), in which case some specification work is needed – e.g. for NAS signalling which may involve SA/CT groups. During the study, RAN should investigate both options.</w:t>
      </w:r>
      <w:r>
        <w:rPr>
          <w:rFonts w:hint="eastAsia"/>
        </w:rPr>
        <w:t xml:space="preserve"> Taking XR-awareness study for example, RAN </w:t>
      </w:r>
      <w:r>
        <w:t xml:space="preserve">can </w:t>
      </w:r>
      <w:r>
        <w:rPr>
          <w:rFonts w:hint="eastAsia"/>
        </w:rPr>
        <w:t xml:space="preserve">first study some potential XR awareness information which is helpful for improving capacity and power performance, and </w:t>
      </w:r>
      <w:r>
        <w:t xml:space="preserve">in </w:t>
      </w:r>
      <w:r>
        <w:rPr>
          <w:rFonts w:hint="eastAsia"/>
        </w:rPr>
        <w:t xml:space="preserve">parallel </w:t>
      </w:r>
      <w:r>
        <w:t>initiate any supporting associated work to specify this in SA</w:t>
      </w:r>
      <w:r>
        <w:rPr>
          <w:rFonts w:hint="eastAsia"/>
        </w:rPr>
        <w:t xml:space="preserve">. </w:t>
      </w:r>
      <w:r>
        <w:t>It should also be noted that</w:t>
      </w:r>
      <w:r>
        <w:rPr>
          <w:rFonts w:hint="eastAsia"/>
        </w:rPr>
        <w:t xml:space="preserve">, at least some standardization work for RAN in multi-modality without SA involvement </w:t>
      </w:r>
      <w:r>
        <w:t>is also possible, e.g. in UL</w:t>
      </w:r>
      <w:r>
        <w:rPr>
          <w:rFonts w:hint="eastAsia"/>
        </w:rPr>
        <w:t xml:space="preserve"> with UE assistance instead of core network.</w:t>
      </w:r>
    </w:p>
    <w:p>
      <w:pPr>
        <w:pStyle w:val="58"/>
        <w:spacing w:before="120" w:after="120"/>
        <w:jc w:val="both"/>
        <w:rPr>
          <w:lang w:val="en-US" w:eastAsia="zh-CN"/>
        </w:rPr>
      </w:pPr>
      <w:bookmarkStart w:id="1" w:name="_Toc13581"/>
      <w:r>
        <w:rPr>
          <w:lang w:val="en-US" w:eastAsia="zh-CN"/>
        </w:rPr>
        <w:t>UL enhancements for multi-modality can be supported in</w:t>
      </w:r>
      <w:r>
        <w:rPr>
          <w:rFonts w:hint="eastAsia"/>
          <w:lang w:val="en-US" w:eastAsia="zh-CN"/>
        </w:rPr>
        <w:t xml:space="preserve"> RAN without </w:t>
      </w:r>
      <w:r>
        <w:rPr>
          <w:lang w:val="en-US" w:eastAsia="zh-CN"/>
        </w:rPr>
        <w:t>SA/CT involvement, whilst support from SA/CT would be beneficial for multi-modality support in DL</w:t>
      </w:r>
      <w:r>
        <w:rPr>
          <w:rFonts w:hint="eastAsia"/>
          <w:lang w:val="en-US" w:eastAsia="zh-CN"/>
        </w:rPr>
        <w:t>.</w:t>
      </w:r>
      <w:bookmarkEnd w:id="1"/>
    </w:p>
    <w:p>
      <w:pPr>
        <w:pStyle w:val="3"/>
        <w:spacing w:before="120" w:after="120"/>
        <w:ind w:left="991" w:right="210" w:hanging="991" w:hangingChars="354"/>
        <w:rPr>
          <w:rFonts w:eastAsia="宋体"/>
        </w:rPr>
      </w:pPr>
      <w:r>
        <w:rPr>
          <w:rFonts w:eastAsia="宋体"/>
        </w:rPr>
        <w:t>E</w:t>
      </w:r>
      <w:r>
        <w:rPr>
          <w:rFonts w:hint="eastAsia" w:eastAsia="宋体"/>
        </w:rPr>
        <w:t xml:space="preserve">nhancements on </w:t>
      </w:r>
      <w:r>
        <w:rPr>
          <w:rFonts w:eastAsia="宋体"/>
        </w:rPr>
        <w:t>m</w:t>
      </w:r>
      <w:r>
        <w:rPr>
          <w:rFonts w:hint="eastAsia" w:eastAsia="宋体"/>
        </w:rPr>
        <w:t>ulti-modality awareness</w:t>
      </w:r>
    </w:p>
    <w:p>
      <w:pPr>
        <w:spacing w:before="120" w:after="120"/>
        <w:rPr>
          <w:b/>
          <w:bCs/>
          <w:u w:val="single"/>
        </w:rPr>
      </w:pPr>
      <w:r>
        <w:rPr>
          <w:rFonts w:hint="eastAsia"/>
        </w:rPr>
        <w:t>Based on multi-modality awareness, the following enhancements can be considered</w:t>
      </w:r>
      <w:r>
        <w:t>.</w:t>
      </w:r>
    </w:p>
    <w:p>
      <w:pPr>
        <w:spacing w:before="120" w:after="120"/>
      </w:pPr>
      <w:r>
        <w:rPr>
          <w:rFonts w:hint="eastAsia"/>
        </w:rPr>
        <w:t xml:space="preserve">From user experience perspective, synchronization guaranteed in RAN has advantages of synchronization budget saving and real-time adjustment based on synchronization request, compared to synchronization guaranteed in core network. </w:t>
      </w:r>
      <w:r>
        <w:t>Furthermore, awareness of synchronization requirements in the scheduler can enable joint scheduling of synchronized streams in both UL and DL, improving the overall delay performance.</w:t>
      </w:r>
    </w:p>
    <w:p>
      <w:pPr>
        <w:spacing w:before="120" w:after="120"/>
      </w:pPr>
      <w:r>
        <w:t xml:space="preserve">As shown </w:t>
      </w:r>
      <w:r>
        <w:rPr>
          <w:rFonts w:hint="eastAsia"/>
        </w:rPr>
        <w:t>in Figure 4, the synchronization threshold [6] tends to affect packet delay budget of one of stream (i.e., video stream only has 7ms packet delay budget instead of 10ms).</w:t>
      </w:r>
    </w:p>
    <w:p>
      <w:pPr>
        <w:spacing w:before="120" w:after="120"/>
        <w:jc w:val="center"/>
      </w:pPr>
      <w:r>
        <w:rPr>
          <w:rFonts w:hint="eastAsia"/>
        </w:rPr>
        <w:drawing>
          <wp:inline distT="0" distB="0" distL="114300" distR="114300">
            <wp:extent cx="3387725" cy="2152650"/>
            <wp:effectExtent l="0" t="0" r="3175" b="0"/>
            <wp:docPr id="6" name="图片 6" descr="同步对数据流PDB的影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同步对数据流PDB的影响"/>
                    <pic:cNvPicPr>
                      <a:picLocks noChangeAspect="1"/>
                    </pic:cNvPicPr>
                  </pic:nvPicPr>
                  <pic:blipFill>
                    <a:blip r:embed="rId16"/>
                    <a:stretch>
                      <a:fillRect/>
                    </a:stretch>
                  </pic:blipFill>
                  <pic:spPr>
                    <a:xfrm>
                      <a:off x="0" y="0"/>
                      <a:ext cx="3387725" cy="2152650"/>
                    </a:xfrm>
                    <a:prstGeom prst="rect">
                      <a:avLst/>
                    </a:prstGeom>
                  </pic:spPr>
                </pic:pic>
              </a:graphicData>
            </a:graphic>
          </wp:inline>
        </w:drawing>
      </w:r>
    </w:p>
    <w:p>
      <w:pPr>
        <w:spacing w:before="120" w:after="120"/>
        <w:jc w:val="center"/>
        <w:rPr>
          <w:rFonts w:hint="eastAsia" w:eastAsia="宋体"/>
          <w:lang w:val="en-US" w:eastAsia="zh-CN"/>
        </w:rPr>
      </w:pPr>
      <w:r>
        <w:rPr>
          <w:rFonts w:hint="eastAsia"/>
        </w:rPr>
        <w:t>Figure 4 Impact of synchronization threshold in packet delay budget</w:t>
      </w:r>
      <w:r>
        <w:rPr>
          <w:rFonts w:hint="eastAsia"/>
          <w:lang w:val="en-US" w:eastAsia="zh-CN"/>
        </w:rPr>
        <w:t>.</w:t>
      </w:r>
    </w:p>
    <w:p>
      <w:pPr>
        <w:spacing w:before="120" w:after="120"/>
      </w:pPr>
      <w:r>
        <w:rPr>
          <w:rFonts w:hint="eastAsia"/>
        </w:rPr>
        <w:t>The following simulation results in Figure 5 show capacity performance comparison between synchronization guaranteed in RAN (i.e., Sync. in RAN in Figure 5) and synchronization guaranteed in core network (i.e., Sync. in CN in Figure 5). According to our simulation results, capacity performance of synchronization guaranteed in RAN increases to three times as compared with synchronization in core network.</w:t>
      </w:r>
    </w:p>
    <w:p>
      <w:pPr>
        <w:spacing w:before="120" w:after="120"/>
        <w:jc w:val="center"/>
      </w:pPr>
      <w:r>
        <w:drawing>
          <wp:inline distT="0" distB="0" distL="114300" distR="114300">
            <wp:extent cx="3580765" cy="2685415"/>
            <wp:effectExtent l="0" t="0" r="0" b="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7"/>
                    <a:stretch>
                      <a:fillRect/>
                    </a:stretch>
                  </pic:blipFill>
                  <pic:spPr>
                    <a:xfrm>
                      <a:off x="0" y="0"/>
                      <a:ext cx="3580765" cy="2685415"/>
                    </a:xfrm>
                    <a:prstGeom prst="rect">
                      <a:avLst/>
                    </a:prstGeom>
                    <a:noFill/>
                    <a:ln>
                      <a:noFill/>
                    </a:ln>
                  </pic:spPr>
                </pic:pic>
              </a:graphicData>
            </a:graphic>
          </wp:inline>
        </w:drawing>
      </w:r>
    </w:p>
    <w:p>
      <w:pPr>
        <w:spacing w:before="120" w:after="120"/>
        <w:jc w:val="center"/>
      </w:pPr>
      <w:r>
        <w:rPr>
          <w:rFonts w:hint="eastAsia"/>
        </w:rPr>
        <w:t xml:space="preserve">Figure 5 Capacity comparison between </w:t>
      </w:r>
      <w:r>
        <w:t>s</w:t>
      </w:r>
      <w:r>
        <w:rPr>
          <w:rFonts w:hint="eastAsia"/>
        </w:rPr>
        <w:t>ynchronization guaranteed in core network and synchronization guaranteed in RAN.</w:t>
      </w:r>
    </w:p>
    <w:p>
      <w:pPr>
        <w:spacing w:before="120" w:after="120"/>
        <w:rPr>
          <w:b/>
          <w:bCs/>
          <w:u w:val="single"/>
        </w:rPr>
      </w:pPr>
      <w:r>
        <w:rPr>
          <w:b/>
          <w:bCs/>
          <w:u w:val="single"/>
        </w:rPr>
        <w:t>Multi-modality synchronization in RAN</w:t>
      </w:r>
      <w:r>
        <w:rPr>
          <w:rFonts w:hint="eastAsia"/>
          <w:b/>
          <w:bCs/>
          <w:u w:val="single"/>
        </w:rPr>
        <w:t xml:space="preserve"> [RAN2, RAN3, RAN1]</w:t>
      </w:r>
    </w:p>
    <w:p>
      <w:pPr>
        <w:numPr>
          <w:ilvl w:val="255"/>
          <w:numId w:val="0"/>
        </w:numPr>
        <w:spacing w:before="120" w:after="120"/>
        <w:rPr>
          <w:highlight w:val="green"/>
        </w:rPr>
      </w:pPr>
      <w:r>
        <w:t>It is observed that the h</w:t>
      </w:r>
      <w:r>
        <w:rPr>
          <w:rFonts w:hint="eastAsia"/>
        </w:rPr>
        <w:t xml:space="preserve">aptic stream </w:t>
      </w:r>
      <w:r>
        <w:t>from</w:t>
      </w:r>
      <w:r>
        <w:rPr>
          <w:rFonts w:hint="eastAsia"/>
        </w:rPr>
        <w:t xml:space="preserve"> a single senor </w:t>
      </w:r>
      <w:r>
        <w:t xml:space="preserve">is </w:t>
      </w:r>
      <w:r>
        <w:rPr>
          <w:rFonts w:hint="eastAsia"/>
        </w:rPr>
        <w:t xml:space="preserve">aperiodical </w:t>
      </w:r>
      <w:r>
        <w:t>in nature</w:t>
      </w:r>
      <w:r>
        <w:rPr>
          <w:rFonts w:hint="eastAsia"/>
        </w:rPr>
        <w:t xml:space="preserve"> </w:t>
      </w:r>
      <w:r>
        <w:t xml:space="preserve">and </w:t>
      </w:r>
      <w:r>
        <w:rPr>
          <w:rFonts w:hint="eastAsia"/>
        </w:rPr>
        <w:t>follow general Pareto distribution</w:t>
      </w:r>
      <w:r>
        <w:t xml:space="preserve"> and </w:t>
      </w:r>
      <w:r>
        <w:rPr>
          <w:rFonts w:hint="eastAsia"/>
        </w:rPr>
        <w:t xml:space="preserve">haptic stream </w:t>
      </w:r>
      <w:r>
        <w:t xml:space="preserve">of </w:t>
      </w:r>
      <w:r>
        <w:rPr>
          <w:rFonts w:hint="eastAsia"/>
        </w:rPr>
        <w:t>integrate</w:t>
      </w:r>
      <w:r>
        <w:t>d</w:t>
      </w:r>
      <w:r>
        <w:rPr>
          <w:rFonts w:hint="eastAsia"/>
        </w:rPr>
        <w:t xml:space="preserve"> multi</w:t>
      </w:r>
      <w:r>
        <w:t>-</w:t>
      </w:r>
      <w:r>
        <w:rPr>
          <w:rFonts w:hint="eastAsia"/>
        </w:rPr>
        <w:t>senor</w:t>
      </w:r>
      <w:r>
        <w:t xml:space="preserve"> is </w:t>
      </w:r>
      <w:r>
        <w:rPr>
          <w:rFonts w:hint="eastAsia"/>
        </w:rPr>
        <w:t>dense</w:t>
      </w:r>
      <w:r>
        <w:t>r</w:t>
      </w:r>
      <w:r>
        <w:rPr>
          <w:rFonts w:hint="eastAsia"/>
        </w:rPr>
        <w:t xml:space="preserve"> </w:t>
      </w:r>
      <w:r>
        <w:t>with</w:t>
      </w:r>
      <w:r>
        <w:rPr>
          <w:rFonts w:hint="eastAsia"/>
        </w:rPr>
        <w:t xml:space="preserve"> variable packet size, while </w:t>
      </w:r>
      <w:r>
        <w:t xml:space="preserve">the associated </w:t>
      </w:r>
      <w:r>
        <w:rPr>
          <w:rFonts w:hint="eastAsia"/>
        </w:rPr>
        <w:t xml:space="preserve">video stream is periodical </w:t>
      </w:r>
      <w:r>
        <w:t>in nature with</w:t>
      </w:r>
      <w:r>
        <w:rPr>
          <w:rFonts w:hint="eastAsia"/>
        </w:rPr>
        <w:t xml:space="preserve"> variable packet size. Due to different periodicities between haptic stream and video stream, not all the haptic packets have synchronization request with video packets. The synchronization awareness in RAN should be considered. Taking uplink transmission for example, </w:t>
      </w:r>
      <w:r>
        <w:t xml:space="preserve">some mechanism to indicate </w:t>
      </w:r>
      <w:r>
        <w:rPr>
          <w:rFonts w:hint="eastAsia"/>
        </w:rPr>
        <w:t>uplink synchronization request can help gNB identify the haptic packet with synchronization request so that gNB is capable of reacting quickly for scheduling video</w:t>
      </w:r>
      <w:r>
        <w:t xml:space="preserve"> and the associated haptic</w:t>
      </w:r>
      <w:r>
        <w:rPr>
          <w:rFonts w:hint="eastAsia"/>
        </w:rPr>
        <w:t xml:space="preserve"> packets. The gNB can receive required haptic packet and video packet within synchronization threshold. Moreover, uplink synchronization request reporting can inform gNB the remaining delay budget based on synchronization threshold and help gNB prioritize to scheduling the packet close to synchronization threshold.</w:t>
      </w:r>
    </w:p>
    <w:p>
      <w:pPr>
        <w:spacing w:before="120" w:after="120"/>
        <w:rPr>
          <w:b/>
          <w:bCs/>
          <w:u w:val="single"/>
        </w:rPr>
      </w:pPr>
      <w:r>
        <w:rPr>
          <w:rFonts w:hint="eastAsia"/>
          <w:b/>
          <w:bCs/>
          <w:u w:val="single"/>
        </w:rPr>
        <w:t>M</w:t>
      </w:r>
      <w:r>
        <w:rPr>
          <w:b/>
          <w:bCs/>
          <w:u w:val="single"/>
        </w:rPr>
        <w:t>ulti-modality service performance monitoring mechanism</w:t>
      </w:r>
      <w:r>
        <w:rPr>
          <w:rFonts w:hint="eastAsia"/>
          <w:b/>
          <w:bCs/>
          <w:u w:val="single"/>
        </w:rPr>
        <w:t xml:space="preserve"> [RAN3, RAN2]</w:t>
      </w:r>
    </w:p>
    <w:p>
      <w:pPr>
        <w:spacing w:before="120" w:after="120"/>
      </w:pPr>
      <w:r>
        <w:t>Compared to services in previous releases, the multi-modal</w:t>
      </w:r>
      <w:r>
        <w:rPr>
          <w:rFonts w:hint="eastAsia"/>
        </w:rPr>
        <w:t>ity</w:t>
      </w:r>
      <w:r>
        <w:t xml:space="preserve"> services require timely and synchronized delivery of data with further requirements for high data rate/low latency. </w:t>
      </w:r>
      <w:r>
        <w:rPr>
          <w:rFonts w:hint="eastAsia"/>
        </w:rPr>
        <w:t>Therefore,</w:t>
      </w:r>
      <w:r>
        <w:t xml:space="preserve"> further enhance</w:t>
      </w:r>
      <w:r>
        <w:rPr>
          <w:rFonts w:hint="eastAsia"/>
        </w:rPr>
        <w:t>ments</w:t>
      </w:r>
      <w:r>
        <w:t xml:space="preserve"> </w:t>
      </w:r>
      <w:r>
        <w:rPr>
          <w:rFonts w:hint="eastAsia"/>
        </w:rPr>
        <w:t>on</w:t>
      </w:r>
      <w:r>
        <w:t xml:space="preserve"> monitoring the system performance to ensure synchronization and coordination for multi-flow of single UE</w:t>
      </w:r>
      <w:r>
        <w:rPr>
          <w:rFonts w:hint="eastAsia"/>
        </w:rPr>
        <w:t xml:space="preserve"> can be considered</w:t>
      </w:r>
      <w:r>
        <w:t>.</w:t>
      </w:r>
    </w:p>
    <w:p>
      <w:pPr>
        <w:spacing w:before="120" w:after="120"/>
      </w:pPr>
      <w:r>
        <w:t xml:space="preserve">New metrics such as 'motion-to-photon' latency related to </w:t>
      </w:r>
      <w:r>
        <w:rPr>
          <w:rFonts w:hint="eastAsia"/>
        </w:rPr>
        <w:t>m</w:t>
      </w:r>
      <w:r>
        <w:t>ulti-modality need to be studied in Rel-19.</w:t>
      </w:r>
      <w:r>
        <w:rPr>
          <w:rFonts w:hint="eastAsia"/>
        </w:rPr>
        <w:t xml:space="preserve"> </w:t>
      </w:r>
      <w:r>
        <w:t xml:space="preserve">The 'motion-to-photon' latency (the lag between a user making a movement and the movement being displayed within the display) is a particularly important metric as temporal delays can degrade sensorimotor performance. The metric is very different from current performance metrics such as packet delay or packet loss. It also needs to study which entity monitors these metrics. (e.g. by </w:t>
      </w:r>
      <w:r>
        <w:rPr>
          <w:rFonts w:hint="eastAsia"/>
        </w:rPr>
        <w:t>n</w:t>
      </w:r>
      <w:r>
        <w:t>etwork or by UE or both).</w:t>
      </w:r>
    </w:p>
    <w:p>
      <w:pPr>
        <w:spacing w:before="120" w:after="120"/>
      </w:pPr>
      <w:r>
        <w:t>New measurements for evaluating multi-modal</w:t>
      </w:r>
      <w:r>
        <w:rPr>
          <w:rFonts w:hint="eastAsia"/>
        </w:rPr>
        <w:t>ity</w:t>
      </w:r>
      <w:r>
        <w:t xml:space="preserve"> service</w:t>
      </w:r>
      <w:r>
        <w:rPr>
          <w:rFonts w:hint="eastAsia"/>
        </w:rPr>
        <w:t>s</w:t>
      </w:r>
      <w:r>
        <w:t xml:space="preserve"> need to be investigated. For example, how to evaluate the synchronization performance of QoS flows need to be studied. During Rel-18 XR WID, the concept of PDU S</w:t>
      </w:r>
      <w:r>
        <w:rPr>
          <w:rFonts w:hint="eastAsia"/>
        </w:rPr>
        <w:t>et</w:t>
      </w:r>
      <w:r>
        <w:t xml:space="preserve"> has been introduced. It should be noted the synchronization of PDU S</w:t>
      </w:r>
      <w:r>
        <w:rPr>
          <w:rFonts w:hint="eastAsia"/>
        </w:rPr>
        <w:t>et</w:t>
      </w:r>
      <w:r>
        <w:t xml:space="preserve"> among QoS flows belong to one UE is </w:t>
      </w:r>
      <w:r>
        <w:rPr>
          <w:rFonts w:hint="eastAsia"/>
        </w:rPr>
        <w:t xml:space="preserve">the </w:t>
      </w:r>
      <w:r>
        <w:t>key for better experience of multi-modal</w:t>
      </w:r>
      <w:r>
        <w:rPr>
          <w:rFonts w:hint="eastAsia"/>
        </w:rPr>
        <w:t>ity</w:t>
      </w:r>
      <w:r>
        <w:t xml:space="preserve"> service</w:t>
      </w:r>
      <w:r>
        <w:rPr>
          <w:rFonts w:hint="eastAsia"/>
        </w:rPr>
        <w:t>s</w:t>
      </w:r>
      <w:r>
        <w:t xml:space="preserve">. </w:t>
      </w:r>
    </w:p>
    <w:p>
      <w:pPr>
        <w:spacing w:before="120" w:after="120"/>
        <w:rPr>
          <w:rFonts w:hint="eastAsia"/>
          <w:highlight w:val="green"/>
        </w:rPr>
      </w:pPr>
      <w:r>
        <w:t>In addition, RAN node may need new UE assistan</w:t>
      </w:r>
      <w:r>
        <w:rPr>
          <w:rFonts w:hint="eastAsia"/>
        </w:rPr>
        <w:t>ce</w:t>
      </w:r>
      <w:r>
        <w:t xml:space="preserve"> information as </w:t>
      </w:r>
      <w:r>
        <w:rPr>
          <w:rFonts w:hint="eastAsia"/>
        </w:rPr>
        <w:t xml:space="preserve">the </w:t>
      </w:r>
      <w:r>
        <w:t>input for performance evaluation. For example, the configuration of Prioritized Bit Rate (PBR) and Bucket Size Duration (BSD) are key parameters for the uplink traffic shaping and rate limiting for multi-modal</w:t>
      </w:r>
      <w:r>
        <w:rPr>
          <w:rFonts w:hint="eastAsia"/>
        </w:rPr>
        <w:t>ity</w:t>
      </w:r>
      <w:r>
        <w:t xml:space="preserve"> service. UE assistance information may </w:t>
      </w:r>
      <w:r>
        <w:rPr>
          <w:rFonts w:hint="eastAsia"/>
        </w:rPr>
        <w:t xml:space="preserve">be </w:t>
      </w:r>
      <w:r>
        <w:t>need</w:t>
      </w:r>
      <w:r>
        <w:rPr>
          <w:rFonts w:hint="eastAsia"/>
        </w:rPr>
        <w:t>ed</w:t>
      </w:r>
      <w:r>
        <w:t xml:space="preserve"> to dynamically configure and reconfigure these key parameters during the multi-modality related sessions.</w:t>
      </w:r>
    </w:p>
    <w:p>
      <w:pPr>
        <w:spacing w:before="120" w:after="120"/>
        <w:rPr>
          <w:b/>
          <w:bCs/>
          <w:u w:val="single"/>
        </w:rPr>
      </w:pPr>
      <w:r>
        <w:rPr>
          <w:b/>
          <w:bCs/>
          <w:u w:val="single"/>
        </w:rPr>
        <w:t xml:space="preserve">Intra-UE </w:t>
      </w:r>
      <w:r>
        <w:rPr>
          <w:rFonts w:hint="eastAsia"/>
          <w:b/>
          <w:bCs/>
          <w:u w:val="single"/>
        </w:rPr>
        <w:t>PDSCH</w:t>
      </w:r>
      <w:r>
        <w:rPr>
          <w:b/>
          <w:bCs/>
          <w:u w:val="single"/>
        </w:rPr>
        <w:t>/PUSCH</w:t>
      </w:r>
      <w:r>
        <w:rPr>
          <w:rFonts w:hint="eastAsia"/>
          <w:b/>
          <w:bCs/>
          <w:u w:val="single"/>
        </w:rPr>
        <w:t xml:space="preserve"> multiplex</w:t>
      </w:r>
      <w:r>
        <w:rPr>
          <w:b/>
          <w:bCs/>
          <w:u w:val="single"/>
        </w:rPr>
        <w:t xml:space="preserve">ing </w:t>
      </w:r>
      <w:r>
        <w:rPr>
          <w:rFonts w:hint="eastAsia"/>
          <w:b/>
          <w:bCs/>
          <w:u w:val="single"/>
        </w:rPr>
        <w:t>in a slot [RAN1]</w:t>
      </w:r>
    </w:p>
    <w:p>
      <w:pPr>
        <w:spacing w:before="120" w:after="120"/>
      </w:pPr>
      <w:r>
        <w:rPr>
          <w:rFonts w:hint="eastAsia"/>
        </w:rPr>
        <w:t>As mentioned above, haptic stream i</w:t>
      </w:r>
      <w:r>
        <w:t xml:space="preserve">n case of aggregated multi-sensor traffic has </w:t>
      </w:r>
      <w:r>
        <w:rPr>
          <w:rFonts w:hint="eastAsia"/>
        </w:rPr>
        <w:t>dense arrival</w:t>
      </w:r>
      <w:r>
        <w:t xml:space="preserve"> rate</w:t>
      </w:r>
      <w:r>
        <w:rPr>
          <w:rFonts w:hint="eastAsia"/>
        </w:rPr>
        <w:t xml:space="preserve"> and variable packet sizes and video stream is qusi-periodical/periodical, and both streams are latency-sensitive. Besides, video stream is </w:t>
      </w:r>
      <w:r>
        <w:t>generally of</w:t>
      </w:r>
      <w:r>
        <w:rPr>
          <w:rFonts w:hint="eastAsia"/>
        </w:rPr>
        <w:t xml:space="preserve"> large packet size, multiple slots will be used for video stream transmission. In such multi-flow traffic model, serious collision and resource starvation will be expected in the transmission.</w:t>
      </w:r>
    </w:p>
    <w:p>
      <w:pPr>
        <w:spacing w:before="120" w:after="120"/>
        <w:rPr>
          <w:rFonts w:hint="default" w:eastAsia="宋体"/>
          <w:lang w:val="en-US" w:eastAsia="zh-CN"/>
        </w:rPr>
      </w:pPr>
      <w:r>
        <w:rPr>
          <w:rFonts w:hint="eastAsia"/>
        </w:rPr>
        <w:t xml:space="preserve">PDSCHs/PUSCHs multiplexed in a slot can be considered for ensuring the transmission of latency sensitive traffic without sacrificing the performance of other flow transmission. For example, in Figure 6, haptic packet and video packet are transmitted in two different PDSCHs separately based on multi-modality awareness, where haptic packet occupies a much smaller time and frequency resources, while video packet occupies a much larger time and frequency resource (e.g., the whole symbols in the slot and the whole RBs in the BWP). In such case, the legacy procedure in Figure 6(a) is to schedule haptic packet or video packet and postponing another packet. However, postponing either of packets causes transmission delay, resulting in capacity performance loss, </w:t>
      </w:r>
      <w:r>
        <w:t>since</w:t>
      </w:r>
      <w:r>
        <w:rPr>
          <w:rFonts w:hint="eastAsia"/>
        </w:rPr>
        <w:t xml:space="preserve"> both of haptic and video packet </w:t>
      </w:r>
      <w:r>
        <w:t xml:space="preserve">are </w:t>
      </w:r>
      <w:r>
        <w:rPr>
          <w:rFonts w:hint="eastAsia"/>
        </w:rPr>
        <w:t xml:space="preserve">latency sensitive. Instead, PDSCHs multiplexed in a slot in Figure 6(b) allows two or more PDSCHs to </w:t>
      </w:r>
      <w:r>
        <w:t xml:space="preserve">be </w:t>
      </w:r>
      <w:r>
        <w:rPr>
          <w:rFonts w:hint="eastAsia"/>
        </w:rPr>
        <w:t>transmit</w:t>
      </w:r>
      <w:r>
        <w:t>ted</w:t>
      </w:r>
      <w:r>
        <w:rPr>
          <w:rFonts w:hint="eastAsia"/>
        </w:rPr>
        <w:t xml:space="preserve"> simultaneously even though they are overlapped in time</w:t>
      </w:r>
      <w:r>
        <w:rPr>
          <w:rFonts w:hint="eastAsia"/>
          <w:lang w:val="en-US" w:eastAsia="zh-CN"/>
        </w:rPr>
        <w:t xml:space="preserve"> and </w:t>
      </w:r>
      <w:r>
        <w:rPr>
          <w:rFonts w:hint="eastAsia"/>
        </w:rPr>
        <w:t>frequency</w:t>
      </w:r>
      <w:r>
        <w:t xml:space="preserve"> domain</w:t>
      </w:r>
      <w:r>
        <w:rPr>
          <w:rFonts w:hint="eastAsia"/>
        </w:rPr>
        <w:t xml:space="preserve">. Haptic and video packet can be transmitted in time and the transmission reliability of video packet would not be greatly affected. </w:t>
      </w:r>
      <w:r>
        <w:rPr>
          <w:rFonts w:hint="eastAsia"/>
          <w:lang w:val="en-US" w:eastAsia="zh-CN"/>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55"/>
        <w:gridCol w:w="4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5" w:type="dxa"/>
          </w:tcPr>
          <w:p>
            <w:pPr>
              <w:spacing w:before="120" w:after="120"/>
              <w:rPr>
                <w:strike/>
              </w:rPr>
            </w:pPr>
            <w:r>
              <w:rPr>
                <w:rFonts w:hint="eastAsia"/>
                <w:strike/>
              </w:rPr>
              <w:drawing>
                <wp:inline distT="0" distB="0" distL="114300" distR="114300">
                  <wp:extent cx="2942590" cy="1254760"/>
                  <wp:effectExtent l="0" t="0" r="0" b="0"/>
                  <wp:docPr id="14" name="图片 14" descr="多流legacy调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多流legacy调度"/>
                          <pic:cNvPicPr>
                            <a:picLocks noChangeAspect="1"/>
                          </pic:cNvPicPr>
                        </pic:nvPicPr>
                        <pic:blipFill>
                          <a:blip r:embed="rId18"/>
                          <a:stretch>
                            <a:fillRect/>
                          </a:stretch>
                        </pic:blipFill>
                        <pic:spPr>
                          <a:xfrm>
                            <a:off x="0" y="0"/>
                            <a:ext cx="2942590" cy="1254760"/>
                          </a:xfrm>
                          <a:prstGeom prst="rect">
                            <a:avLst/>
                          </a:prstGeom>
                        </pic:spPr>
                      </pic:pic>
                    </a:graphicData>
                  </a:graphic>
                </wp:inline>
              </w:drawing>
            </w:r>
          </w:p>
        </w:tc>
        <w:tc>
          <w:tcPr>
            <w:tcW w:w="4779" w:type="dxa"/>
          </w:tcPr>
          <w:p>
            <w:pPr>
              <w:spacing w:before="120" w:after="120"/>
              <w:rPr>
                <w:strike/>
              </w:rPr>
            </w:pPr>
            <w:r>
              <w:rPr>
                <w:rFonts w:hint="eastAsia"/>
                <w:strike/>
              </w:rPr>
              <w:drawing>
                <wp:inline distT="0" distB="0" distL="114300" distR="114300">
                  <wp:extent cx="2897505" cy="1417320"/>
                  <wp:effectExtent l="0" t="0" r="0" b="0"/>
                  <wp:docPr id="15" name="图片 15" descr="PDSCH复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PDSCH复用"/>
                          <pic:cNvPicPr>
                            <a:picLocks noChangeAspect="1"/>
                          </pic:cNvPicPr>
                        </pic:nvPicPr>
                        <pic:blipFill>
                          <a:blip r:embed="rId19"/>
                          <a:stretch>
                            <a:fillRect/>
                          </a:stretch>
                        </pic:blipFill>
                        <pic:spPr>
                          <a:xfrm>
                            <a:off x="0" y="0"/>
                            <a:ext cx="2897505" cy="141732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5" w:type="dxa"/>
          </w:tcPr>
          <w:p>
            <w:pPr>
              <w:spacing w:before="120" w:after="120"/>
              <w:jc w:val="center"/>
              <w:rPr>
                <w:rFonts w:hint="eastAsia" w:eastAsia="宋体"/>
                <w:lang w:val="en-US" w:eastAsia="zh-CN"/>
              </w:rPr>
            </w:pPr>
            <w:r>
              <w:rPr>
                <w:rFonts w:hint="eastAsia"/>
              </w:rPr>
              <w:t>(a) Legacy scheduling for haptic and video</w:t>
            </w:r>
            <w:r>
              <w:rPr>
                <w:rFonts w:hint="eastAsia"/>
                <w:lang w:val="en-US" w:eastAsia="zh-CN"/>
              </w:rPr>
              <w:t>.</w:t>
            </w:r>
          </w:p>
        </w:tc>
        <w:tc>
          <w:tcPr>
            <w:tcW w:w="4779" w:type="dxa"/>
          </w:tcPr>
          <w:p>
            <w:pPr>
              <w:spacing w:before="120" w:after="120"/>
              <w:jc w:val="center"/>
              <w:rPr>
                <w:rFonts w:hint="eastAsia" w:eastAsia="宋体"/>
                <w:lang w:val="en-US" w:eastAsia="zh-CN"/>
              </w:rPr>
            </w:pPr>
            <w:r>
              <w:rPr>
                <w:rFonts w:hint="eastAsia"/>
              </w:rPr>
              <w:t>(b) PDSCHs multiplexing in a slot</w:t>
            </w:r>
            <w:r>
              <w:rPr>
                <w:rFonts w:hint="eastAsia"/>
                <w:lang w:val="en-US" w:eastAsia="zh-CN"/>
              </w:rPr>
              <w:t>.</w:t>
            </w:r>
          </w:p>
        </w:tc>
      </w:tr>
    </w:tbl>
    <w:p>
      <w:pPr>
        <w:spacing w:before="120" w:after="120"/>
        <w:jc w:val="center"/>
        <w:rPr>
          <w:rFonts w:hint="eastAsia" w:eastAsia="宋体"/>
          <w:lang w:val="en-US" w:eastAsia="zh-CN"/>
        </w:rPr>
      </w:pPr>
      <w:r>
        <w:rPr>
          <w:rFonts w:hint="eastAsia"/>
        </w:rPr>
        <w:t>Figure 6 Illustration between legacy scheduling procedure and PDSCHs multiplexing in a slot</w:t>
      </w:r>
      <w:r>
        <w:rPr>
          <w:rFonts w:hint="eastAsia"/>
          <w:lang w:val="en-US" w:eastAsia="zh-CN"/>
        </w:rPr>
        <w:t>.</w:t>
      </w:r>
    </w:p>
    <w:p>
      <w:pPr>
        <w:spacing w:before="120" w:after="120"/>
        <w:rPr>
          <w:rFonts w:hint="eastAsia"/>
          <w:color w:val="000000" w:themeColor="text1"/>
          <w:sz w:val="21"/>
          <w:highlight w:val="none"/>
          <w:u w:val="none"/>
          <w14:textFill>
            <w14:solidFill>
              <w14:schemeClr w14:val="tx1"/>
            </w14:solidFill>
          </w14:textFill>
        </w:rPr>
      </w:pPr>
      <w:r>
        <w:rPr>
          <w:rFonts w:hint="eastAsia"/>
          <w:color w:val="000000" w:themeColor="text1"/>
          <w:sz w:val="21"/>
          <w:highlight w:val="none"/>
          <w:u w:val="none"/>
          <w:lang w:val="en-US" w:eastAsia="zh-CN"/>
          <w14:textFill>
            <w14:solidFill>
              <w14:schemeClr w14:val="tx1"/>
            </w14:solidFill>
          </w14:textFill>
        </w:rPr>
        <w:t>Similarly, the enhancement can be also considered in uplink transmission.</w:t>
      </w:r>
    </w:p>
    <w:p>
      <w:pPr>
        <w:spacing w:before="120" w:after="120"/>
      </w:pPr>
      <w:r>
        <w:rPr>
          <w:rFonts w:hint="eastAsia"/>
        </w:rPr>
        <w:t>Based on the above analysis, we have the following proposal for Rel-19 XR objective</w:t>
      </w:r>
      <w:r>
        <w:rPr>
          <w:rFonts w:hint="eastAsia"/>
          <w:lang w:val="en-US" w:eastAsia="zh-CN"/>
        </w:rPr>
        <w:t>s for multi-modality enhancement</w:t>
      </w:r>
      <w:r>
        <w:rPr>
          <w:rFonts w:hint="eastAsia"/>
        </w:rPr>
        <w:t>:</w:t>
      </w:r>
    </w:p>
    <w:p>
      <w:pPr>
        <w:pStyle w:val="61"/>
        <w:spacing w:before="120" w:after="120"/>
        <w:jc w:val="both"/>
      </w:pPr>
      <w:bookmarkStart w:id="2" w:name="_Toc1674"/>
      <w:r>
        <w:rPr>
          <w:rFonts w:hint="eastAsia"/>
          <w:lang w:val="en-US" w:eastAsia="zh-CN"/>
        </w:rPr>
        <w:t>Study and specify potential capacity enhancement for</w:t>
      </w:r>
      <w:r>
        <w:rPr>
          <w:lang w:val="en-US" w:eastAsia="zh-CN"/>
        </w:rPr>
        <w:t xml:space="preserve"> </w:t>
      </w:r>
      <w:r>
        <w:rPr>
          <w:rFonts w:hint="eastAsia"/>
          <w:lang w:val="en-US" w:eastAsia="zh-CN"/>
        </w:rPr>
        <w:t>multi-modality traffic characteristic</w:t>
      </w:r>
      <w:r>
        <w:rPr>
          <w:lang w:val="en-US" w:eastAsia="zh-CN"/>
        </w:rPr>
        <w:t>s</w:t>
      </w:r>
      <w:r>
        <w:rPr>
          <w:rFonts w:hint="eastAsia"/>
          <w:lang w:val="en-US" w:eastAsia="zh-CN"/>
        </w:rPr>
        <w:t xml:space="preserve"> (RAN1, RAN2, RAN3)</w:t>
      </w:r>
      <w:bookmarkEnd w:id="2"/>
    </w:p>
    <w:p>
      <w:pPr>
        <w:pStyle w:val="61"/>
        <w:numPr>
          <w:ilvl w:val="1"/>
          <w:numId w:val="4"/>
        </w:numPr>
        <w:tabs>
          <w:tab w:val="clear" w:pos="840"/>
        </w:tabs>
        <w:spacing w:before="120" w:after="120"/>
        <w:jc w:val="both"/>
      </w:pPr>
      <w:bookmarkStart w:id="3" w:name="_Toc3753"/>
      <w:r>
        <w:rPr>
          <w:rFonts w:hint="eastAsia"/>
        </w:rPr>
        <w:t>Study RAN enhancement mechanism on synchronization and coordination for multi-flow of single UE (e.g., haptic, voice, video)</w:t>
      </w:r>
      <w:r>
        <w:rPr>
          <w:rFonts w:hint="eastAsia"/>
          <w:lang w:val="en-US" w:eastAsia="zh-CN"/>
        </w:rPr>
        <w:t>.</w:t>
      </w:r>
      <w:bookmarkEnd w:id="3"/>
    </w:p>
    <w:p>
      <w:pPr>
        <w:pStyle w:val="61"/>
        <w:numPr>
          <w:ilvl w:val="2"/>
          <w:numId w:val="4"/>
        </w:numPr>
        <w:tabs>
          <w:tab w:val="clear" w:pos="1260"/>
        </w:tabs>
        <w:spacing w:before="120" w:after="120"/>
        <w:jc w:val="both"/>
      </w:pPr>
      <w:bookmarkStart w:id="4" w:name="_Toc13905"/>
      <w:r>
        <w:rPr>
          <w:rFonts w:hint="eastAsia"/>
        </w:rPr>
        <w:t>Multi-flow awareness for multi-modality service</w:t>
      </w:r>
      <w:r>
        <w:rPr>
          <w:rFonts w:hint="eastAsia"/>
          <w:lang w:val="en-US" w:eastAsia="zh-CN"/>
        </w:rPr>
        <w:t>.</w:t>
      </w:r>
      <w:bookmarkEnd w:id="4"/>
    </w:p>
    <w:p>
      <w:pPr>
        <w:pStyle w:val="61"/>
        <w:numPr>
          <w:ilvl w:val="2"/>
          <w:numId w:val="4"/>
        </w:numPr>
        <w:tabs>
          <w:tab w:val="clear" w:pos="1260"/>
        </w:tabs>
        <w:spacing w:before="120" w:after="120"/>
        <w:jc w:val="both"/>
      </w:pPr>
      <w:bookmarkStart w:id="5" w:name="_Toc16636"/>
      <w:r>
        <w:rPr>
          <w:rFonts w:hint="eastAsia"/>
        </w:rPr>
        <w:t>Scheduling enhancement</w:t>
      </w:r>
      <w:r>
        <w:t>s</w:t>
      </w:r>
      <w:r>
        <w:rPr>
          <w:rFonts w:hint="eastAsia"/>
        </w:rPr>
        <w:t xml:space="preserve"> on synchronization and coordination for multi-flow of single UE</w:t>
      </w:r>
      <w:r>
        <w:rPr>
          <w:rFonts w:hint="eastAsia"/>
          <w:lang w:val="en-US" w:eastAsia="zh-CN"/>
        </w:rPr>
        <w:t>.</w:t>
      </w:r>
      <w:bookmarkEnd w:id="5"/>
    </w:p>
    <w:p>
      <w:pPr>
        <w:pStyle w:val="61"/>
        <w:numPr>
          <w:ilvl w:val="1"/>
          <w:numId w:val="4"/>
        </w:numPr>
        <w:tabs>
          <w:tab w:val="clear" w:pos="840"/>
        </w:tabs>
        <w:spacing w:before="120" w:after="120"/>
        <w:jc w:val="both"/>
      </w:pPr>
      <w:bookmarkStart w:id="6" w:name="_Toc5893"/>
      <w:r>
        <w:rPr>
          <w:rFonts w:hint="eastAsia"/>
          <w:lang w:val="en-US" w:eastAsia="zh-CN"/>
        </w:rPr>
        <w:t>For multi-modal traffic scheduling enhancement:</w:t>
      </w:r>
      <w:bookmarkEnd w:id="6"/>
    </w:p>
    <w:p>
      <w:pPr>
        <w:pStyle w:val="61"/>
        <w:numPr>
          <w:ilvl w:val="2"/>
          <w:numId w:val="4"/>
        </w:numPr>
        <w:tabs>
          <w:tab w:val="clear" w:pos="1260"/>
        </w:tabs>
        <w:spacing w:before="120" w:after="120"/>
        <w:jc w:val="both"/>
      </w:pPr>
      <w:bookmarkStart w:id="7" w:name="_Toc508"/>
      <w:r>
        <w:rPr>
          <w:rFonts w:hint="eastAsia"/>
          <w:lang w:val="en-US" w:eastAsia="zh-CN"/>
        </w:rPr>
        <w:t xml:space="preserve">Multi-modal traffic scheduling enhancement, e.g., uplink synchronization request reporting, </w:t>
      </w:r>
      <w:r>
        <w:rPr>
          <w:lang w:val="en-US" w:eastAsia="zh-CN"/>
        </w:rPr>
        <w:t xml:space="preserve">intra-UE </w:t>
      </w:r>
      <w:r>
        <w:rPr>
          <w:rFonts w:hint="eastAsia"/>
          <w:lang w:val="en-US" w:eastAsia="zh-CN"/>
        </w:rPr>
        <w:t>PDSCH</w:t>
      </w:r>
      <w:r>
        <w:rPr>
          <w:lang w:val="en-US" w:eastAsia="zh-CN"/>
        </w:rPr>
        <w:t>/PUSCH</w:t>
      </w:r>
      <w:r>
        <w:rPr>
          <w:rFonts w:hint="eastAsia"/>
          <w:lang w:val="en-US" w:eastAsia="zh-CN"/>
        </w:rPr>
        <w:t xml:space="preserve"> multiplex</w:t>
      </w:r>
      <w:r>
        <w:rPr>
          <w:lang w:val="en-US" w:eastAsia="zh-CN"/>
        </w:rPr>
        <w:t>ing</w:t>
      </w:r>
      <w:r>
        <w:rPr>
          <w:rFonts w:hint="eastAsia"/>
          <w:lang w:val="en-US" w:eastAsia="zh-CN"/>
        </w:rPr>
        <w:t xml:space="preserve"> in a slot.</w:t>
      </w:r>
      <w:bookmarkEnd w:id="7"/>
      <w:r>
        <w:rPr>
          <w:rFonts w:hint="eastAsia"/>
          <w:lang w:val="en-US" w:eastAsia="zh-CN"/>
        </w:rPr>
        <w:t xml:space="preserve">   </w:t>
      </w:r>
    </w:p>
    <w:p>
      <w:pPr>
        <w:pStyle w:val="61"/>
        <w:numPr>
          <w:ilvl w:val="1"/>
          <w:numId w:val="4"/>
        </w:numPr>
        <w:tabs>
          <w:tab w:val="clear" w:pos="840"/>
        </w:tabs>
        <w:spacing w:before="120" w:after="120"/>
        <w:jc w:val="both"/>
      </w:pPr>
      <w:bookmarkStart w:id="8" w:name="_Toc19538"/>
      <w:r>
        <w:rPr>
          <w:rFonts w:hint="eastAsia"/>
          <w:lang w:val="en-US" w:eastAsia="zh-CN"/>
        </w:rPr>
        <w:t>Study new measurements (NG-RAN and UE), define new evaluation mechanisms for synchronization of media and the performance of multi-modality services, including, study multi-modality services performance monitoring mechanism:</w:t>
      </w:r>
      <w:bookmarkEnd w:id="8"/>
    </w:p>
    <w:p>
      <w:pPr>
        <w:pStyle w:val="61"/>
        <w:numPr>
          <w:ilvl w:val="2"/>
          <w:numId w:val="4"/>
        </w:numPr>
        <w:tabs>
          <w:tab w:val="clear" w:pos="1260"/>
        </w:tabs>
        <w:spacing w:before="120" w:after="120"/>
        <w:jc w:val="both"/>
      </w:pPr>
      <w:bookmarkStart w:id="9" w:name="_Toc5201"/>
      <w:r>
        <w:rPr>
          <w:rFonts w:hint="eastAsia"/>
          <w:lang w:val="en-US" w:eastAsia="zh-CN"/>
        </w:rPr>
        <w:t>Possible new metrics (e.g., jitter, motion to sound/photon latency). Configure threshold(s) and/or condition(s) for triggering reports.</w:t>
      </w:r>
      <w:bookmarkEnd w:id="9"/>
    </w:p>
    <w:p>
      <w:pPr>
        <w:pStyle w:val="61"/>
        <w:numPr>
          <w:ilvl w:val="2"/>
          <w:numId w:val="4"/>
        </w:numPr>
        <w:tabs>
          <w:tab w:val="clear" w:pos="1260"/>
        </w:tabs>
        <w:spacing w:before="120" w:after="120"/>
        <w:jc w:val="both"/>
      </w:pPr>
      <w:bookmarkStart w:id="10" w:name="_Toc11586"/>
      <w:r>
        <w:rPr>
          <w:rFonts w:hint="eastAsia"/>
          <w:lang w:val="en-US" w:eastAsia="zh-CN"/>
        </w:rPr>
        <w:t>New measurements for multi-modality services: To evaluate the UE experience quality for multi-modality service in a cell, the RAN may need to obtain UE assistance information for evaluation (e.g. UE-level or 5QI-level PSDB/PSER data, PSDB satisfaction rate).</w:t>
      </w:r>
      <w:bookmarkEnd w:id="10"/>
      <w:r>
        <w:rPr>
          <w:rFonts w:hint="eastAsia"/>
          <w:lang w:val="en-US" w:eastAsia="zh-CN"/>
        </w:rPr>
        <w:t xml:space="preserve">   </w:t>
      </w:r>
    </w:p>
    <w:p>
      <w:pPr>
        <w:pStyle w:val="2"/>
        <w:spacing w:before="120" w:after="120"/>
        <w:ind w:left="0"/>
      </w:pPr>
      <w:r>
        <w:rPr>
          <w:rFonts w:hint="eastAsia" w:eastAsia="宋体"/>
        </w:rPr>
        <w:t>Capacity enhancement</w:t>
      </w:r>
    </w:p>
    <w:p>
      <w:pPr>
        <w:spacing w:before="120" w:after="120"/>
        <w:rPr>
          <w:b/>
          <w:bCs/>
          <w:u w:val="single"/>
        </w:rPr>
      </w:pPr>
      <w:r>
        <w:rPr>
          <w:rFonts w:hint="eastAsia"/>
          <w:b/>
          <w:bCs/>
          <w:u w:val="single"/>
        </w:rPr>
        <w:t>Measurement gap enhancement</w:t>
      </w:r>
    </w:p>
    <w:p>
      <w:pPr>
        <w:spacing w:before="120" w:after="120"/>
      </w:pPr>
      <w:r>
        <w:rPr>
          <w:rFonts w:hint="eastAsia"/>
        </w:rPr>
        <w:t>As discussed in RAN#101 [7], enhancement for measurement gap got w</w:t>
      </w:r>
      <w:r>
        <w:t xml:space="preserve">ide support </w:t>
      </w:r>
      <w:r>
        <w:rPr>
          <w:rFonts w:hint="eastAsia"/>
        </w:rPr>
        <w:t xml:space="preserve">and </w:t>
      </w:r>
      <w:r>
        <w:t>reasonable justification</w:t>
      </w:r>
      <w:r>
        <w:rPr>
          <w:rFonts w:hint="eastAsia"/>
        </w:rPr>
        <w:t>. In our view, it is necessary to develop a mechanism</w:t>
      </w:r>
      <w:r>
        <w:t xml:space="preserve"> of how to </w:t>
      </w:r>
      <w:r>
        <w:rPr>
          <w:rFonts w:hint="eastAsia"/>
        </w:rPr>
        <w:t>relax scheduling restriction in a certain time</w:t>
      </w:r>
      <w:r>
        <w:t>,</w:t>
      </w:r>
      <w:r>
        <w:rPr>
          <w:rFonts w:hint="eastAsia"/>
        </w:rPr>
        <w:t xml:space="preserve"> </w:t>
      </w:r>
      <w:r>
        <w:t>where</w:t>
      </w:r>
      <w:r>
        <w:rPr>
          <w:rFonts w:hint="eastAsia"/>
        </w:rPr>
        <w:t xml:space="preserve"> dynamic measurement time adjust</w:t>
      </w:r>
      <w:r>
        <w:t>ment</w:t>
      </w:r>
      <w:r>
        <w:rPr>
          <w:rFonts w:hint="eastAsia"/>
        </w:rPr>
        <w:t xml:space="preserve"> and corresponding signaling</w:t>
      </w:r>
      <w:r>
        <w:t xml:space="preserve"> are needed</w:t>
      </w:r>
      <w:r>
        <w:rPr>
          <w:rFonts w:hint="eastAsia"/>
        </w:rPr>
        <w:t xml:space="preserve">. Based on </w:t>
      </w:r>
      <w:r>
        <w:t>this</w:t>
      </w:r>
      <w:r>
        <w:rPr>
          <w:rFonts w:hint="eastAsia"/>
        </w:rPr>
        <w:t xml:space="preserve"> enhancement, the measurement gap for inter-frequency neighbour cell measurement and the corresponding RF tuning for RRM proposes can be </w:t>
      </w:r>
      <w:r>
        <w:t>utilized for scheduling under NW’s control</w:t>
      </w:r>
      <w:r>
        <w:rPr>
          <w:rFonts w:hint="eastAsia"/>
        </w:rPr>
        <w:t>. To this end, we propose to adopt the objective as follows:</w:t>
      </w:r>
    </w:p>
    <w:p>
      <w:pPr>
        <w:pStyle w:val="61"/>
        <w:spacing w:before="120" w:after="120"/>
        <w:jc w:val="both"/>
        <w:rPr>
          <w:lang w:val="en-US" w:eastAsia="zh-CN"/>
        </w:rPr>
      </w:pPr>
      <w:bookmarkStart w:id="11" w:name="_Toc7637"/>
      <w:r>
        <w:rPr>
          <w:rFonts w:hint="eastAsia"/>
          <w:lang w:val="en-US" w:eastAsia="zh-CN"/>
        </w:rPr>
        <w:t>Specify adaptive measurement gap/flexible scheduling restrictions for XR capacity enhancements, e.g., for FR1 and FR2 inter-frequency RRM measurements with measurement gaps and FR2 intra-frequency measurements w/o measurement gaps. [RAN1, RAN2, RAN4]</w:t>
      </w:r>
      <w:bookmarkEnd w:id="11"/>
    </w:p>
    <w:p>
      <w:pPr>
        <w:spacing w:before="120" w:after="120"/>
        <w:rPr>
          <w:b/>
          <w:bCs/>
          <w:u w:val="single"/>
        </w:rPr>
      </w:pPr>
      <w:r>
        <w:rPr>
          <w:b/>
          <w:bCs/>
          <w:u w:val="single"/>
        </w:rPr>
        <w:t>Further enhancement on c</w:t>
      </w:r>
      <w:r>
        <w:rPr>
          <w:rFonts w:hint="eastAsia"/>
          <w:b/>
          <w:bCs/>
          <w:u w:val="single"/>
        </w:rPr>
        <w:t>onfigured grant</w:t>
      </w:r>
    </w:p>
    <w:p>
      <w:pPr>
        <w:spacing w:before="120" w:after="120"/>
      </w:pPr>
      <w:r>
        <w:rPr>
          <w:rFonts w:hint="eastAsia"/>
        </w:rPr>
        <w:t xml:space="preserve">UTO-UCI for multiple CG configurations is one of leftover topics in Rel-18 XR. In Rel-18 XR, UTO-UCI is used for indicating whether the CG PUSCH transmission occasions in one CG configuration are unused or not. In some scenarios, multiple CG configurations would be configured for transmitting the data of a single service. </w:t>
      </w:r>
      <w:r>
        <w:t>In</w:t>
      </w:r>
      <w:r>
        <w:rPr>
          <w:rFonts w:hint="eastAsia"/>
        </w:rPr>
        <w:t xml:space="preserve"> this case, </w:t>
      </w:r>
      <w:r>
        <w:t>due to</w:t>
      </w:r>
      <w:r>
        <w:rPr>
          <w:rFonts w:hint="eastAsia"/>
        </w:rPr>
        <w:t xml:space="preserve"> each UTO-UCI </w:t>
      </w:r>
      <w:r>
        <w:t xml:space="preserve">is linked with only one </w:t>
      </w:r>
      <w:r>
        <w:rPr>
          <w:rFonts w:hint="eastAsia"/>
        </w:rPr>
        <w:t xml:space="preserve">CG configuration, the overhead of UTO-UCI become large. </w:t>
      </w:r>
      <w:r>
        <w:t xml:space="preserve">In addition, when there is no data transmission in some CG configurations, the corresponding CG resources cannot be released. Therefore, these CG resource release has to rely on UTO-UCI transmitted in a different CG configuration. </w:t>
      </w:r>
      <w:r>
        <w:rPr>
          <w:rFonts w:hint="eastAsia"/>
        </w:rPr>
        <w:t xml:space="preserve">To this end, it is necessary to </w:t>
      </w:r>
      <w:r>
        <w:t>consider</w:t>
      </w:r>
      <w:r>
        <w:rPr>
          <w:rFonts w:hint="eastAsia"/>
        </w:rPr>
        <w:t xml:space="preserve"> UTO-UCI signaling </w:t>
      </w:r>
      <w:r>
        <w:t>to</w:t>
      </w:r>
      <w:r>
        <w:rPr>
          <w:rFonts w:hint="eastAsia"/>
        </w:rPr>
        <w:t xml:space="preserve"> jointly indicate whether the CG PUSCH transmission occasions of multiple CG configurations are unused or not.</w:t>
      </w:r>
    </w:p>
    <w:p>
      <w:pPr>
        <w:spacing w:before="120" w:after="120"/>
        <w:rPr>
          <w:rFonts w:hint="eastAsia"/>
        </w:rPr>
      </w:pPr>
      <w:r>
        <w:t>R</w:t>
      </w:r>
      <w:r>
        <w:rPr>
          <w:rFonts w:hint="eastAsia"/>
        </w:rPr>
        <w:t xml:space="preserve">epetition </w:t>
      </w:r>
      <w:r>
        <w:t>for CG PUSCH</w:t>
      </w:r>
      <w:r>
        <w:rPr>
          <w:rFonts w:hint="eastAsia"/>
        </w:rPr>
        <w:t xml:space="preserve"> is </w:t>
      </w:r>
      <w:r>
        <w:t>applied</w:t>
      </w:r>
      <w:r>
        <w:rPr>
          <w:rFonts w:hint="eastAsia"/>
        </w:rPr>
        <w:t xml:space="preserve"> </w:t>
      </w:r>
      <w:r>
        <w:t>to</w:t>
      </w:r>
      <w:r>
        <w:rPr>
          <w:rFonts w:hint="eastAsia"/>
        </w:rPr>
        <w:t xml:space="preserve"> guarantee the reliability</w:t>
      </w:r>
      <w:r>
        <w:t xml:space="preserve"> / coverage performance</w:t>
      </w:r>
      <w:r>
        <w:rPr>
          <w:rFonts w:hint="eastAsia"/>
        </w:rPr>
        <w:t xml:space="preserve">. In XR use cases, repetition </w:t>
      </w:r>
      <w:r>
        <w:t xml:space="preserve">is also </w:t>
      </w:r>
      <w:r>
        <w:rPr>
          <w:rFonts w:hint="eastAsia"/>
        </w:rPr>
        <w:t xml:space="preserve">needed </w:t>
      </w:r>
      <w:r>
        <w:t>to</w:t>
      </w:r>
      <w:r>
        <w:rPr>
          <w:rFonts w:hint="eastAsia"/>
        </w:rPr>
        <w:t xml:space="preserve"> improve reliability for users, especially for users in the edge of </w:t>
      </w:r>
      <w:r>
        <w:t>a</w:t>
      </w:r>
      <w:r>
        <w:rPr>
          <w:rFonts w:hint="eastAsia"/>
        </w:rPr>
        <w:t xml:space="preserve"> cell, which </w:t>
      </w:r>
      <w:r>
        <w:t xml:space="preserve">may </w:t>
      </w:r>
      <w:r>
        <w:rPr>
          <w:rFonts w:hint="eastAsia"/>
        </w:rPr>
        <w:t>enhance capacity performance. Therefore, repetition of multi-PUSCHs CG configuration can be considered to reduce transmission delay and improve reliability. In this case,</w:t>
      </w:r>
      <w:r>
        <w:t xml:space="preserve"> each bit in the UTO-UCI </w:t>
      </w:r>
      <w:r>
        <w:rPr>
          <w:rFonts w:hint="eastAsia"/>
        </w:rPr>
        <w:t xml:space="preserve">can </w:t>
      </w:r>
      <w:r>
        <w:t>indicate whether the entire repetition bundle is “unused” or not</w:t>
      </w:r>
      <w:r>
        <w:rPr>
          <w:rFonts w:hint="eastAsia"/>
        </w:rPr>
        <w:t>, instead of one-to-one mapping to the corresponding CG PUSCH repetition, in order to save signaling overhead.</w:t>
      </w:r>
    </w:p>
    <w:p>
      <w:pPr>
        <w:pStyle w:val="61"/>
        <w:spacing w:before="120" w:after="120"/>
        <w:jc w:val="both"/>
        <w:rPr>
          <w:lang w:val="en-US" w:eastAsia="zh-CN"/>
        </w:rPr>
      </w:pPr>
      <w:bookmarkStart w:id="12" w:name="_Toc12119"/>
      <w:r>
        <w:rPr>
          <w:rFonts w:hint="eastAsia"/>
          <w:lang w:val="en-US" w:eastAsia="zh-CN"/>
        </w:rPr>
        <w:t xml:space="preserve">Specify </w:t>
      </w:r>
      <w:r>
        <w:rPr>
          <w:lang w:val="en-US" w:eastAsia="zh-CN"/>
        </w:rPr>
        <w:t xml:space="preserve">further enhancement on </w:t>
      </w:r>
      <w:r>
        <w:rPr>
          <w:rFonts w:hint="eastAsia"/>
          <w:lang w:val="en-US" w:eastAsia="zh-CN"/>
        </w:rPr>
        <w:t>configured grant enhancement, including e.g., UTO-UCI for multiple CG configurations, repetition of multi-PUSCHs CG configuration, and UTO-UCI indicating CG with repetition factor larger than one [RAN1].</w:t>
      </w:r>
      <w:bookmarkEnd w:id="12"/>
    </w:p>
    <w:p>
      <w:pPr>
        <w:spacing w:before="120" w:after="120"/>
        <w:rPr>
          <w:b/>
          <w:bCs/>
          <w:u w:val="single"/>
        </w:rPr>
      </w:pPr>
      <w:r>
        <w:rPr>
          <w:rFonts w:hint="eastAsia"/>
          <w:b/>
          <w:bCs/>
          <w:u w:val="single"/>
        </w:rPr>
        <w:t>LCP enhancements</w:t>
      </w:r>
    </w:p>
    <w:p>
      <w:pPr>
        <w:spacing w:before="120" w:after="120"/>
      </w:pPr>
      <w:r>
        <w:rPr>
          <w:rFonts w:hint="eastAsia"/>
        </w:rPr>
        <w:t>Based on DSR report, gNB can schedule the UL data with less remaining time with higher priority. But the remaining time is not considered in the Logical Channel Prioritization</w:t>
      </w:r>
      <w:r>
        <w:t xml:space="preserve"> </w:t>
      </w:r>
      <w:r>
        <w:rPr>
          <w:rFonts w:hint="eastAsia"/>
        </w:rPr>
        <w:t xml:space="preserve">(in which, only </w:t>
      </w:r>
      <w:r>
        <w:rPr>
          <w:lang w:eastAsia="ko-KR"/>
        </w:rPr>
        <w:t>time elapsed</w:t>
      </w:r>
      <w:r>
        <w:rPr>
          <w:rFonts w:hint="eastAsia"/>
        </w:rPr>
        <w:t xml:space="preserve"> is considered). With same discardTimer configured, the </w:t>
      </w:r>
      <w:r>
        <w:rPr>
          <w:lang w:eastAsia="ko-KR"/>
        </w:rPr>
        <w:t>time elapsed</w:t>
      </w:r>
      <w:r>
        <w:rPr>
          <w:rFonts w:hint="eastAsia"/>
        </w:rPr>
        <w:t xml:space="preserve"> used in Logical Channel Prioritization can implement the effect that the UL data with less remaining time will be transmitted with higher priority. But with different discardTimer configured, especially for </w:t>
      </w:r>
      <w:r>
        <w:t>m</w:t>
      </w:r>
      <w:r>
        <w:rPr>
          <w:rFonts w:hint="eastAsia"/>
        </w:rPr>
        <w:t xml:space="preserve">ulti-modality awareness with multiple QoS flow, the UL data with large PDB may be transmitted with higher priority, which is not the intention. So, the dynamic </w:t>
      </w:r>
      <w:r>
        <w:t>g</w:t>
      </w:r>
      <w:r>
        <w:rPr>
          <w:rFonts w:hint="eastAsia"/>
        </w:rPr>
        <w:t>rant need</w:t>
      </w:r>
      <w:r>
        <w:t>s</w:t>
      </w:r>
      <w:r>
        <w:rPr>
          <w:rFonts w:hint="eastAsia"/>
        </w:rPr>
        <w:t xml:space="preserve"> to be enhanced to improve the delay critical data transmission.</w:t>
      </w:r>
    </w:p>
    <w:p>
      <w:pPr>
        <w:pStyle w:val="61"/>
        <w:spacing w:before="120" w:after="120"/>
        <w:jc w:val="both"/>
        <w:rPr>
          <w:lang w:val="en-US" w:eastAsia="zh-CN"/>
        </w:rPr>
      </w:pPr>
      <w:bookmarkStart w:id="13" w:name="_Toc20685"/>
      <w:r>
        <w:rPr>
          <w:rFonts w:hint="eastAsia"/>
          <w:lang w:val="en-US" w:eastAsia="zh-CN"/>
        </w:rPr>
        <w:t>Study and specify LCP enhancement to improve the delay critical data transmission performance [RAN2].</w:t>
      </w:r>
      <w:bookmarkEnd w:id="13"/>
    </w:p>
    <w:p>
      <w:pPr>
        <w:spacing w:before="120" w:after="120"/>
        <w:rPr>
          <w:b/>
          <w:bCs/>
          <w:u w:val="single"/>
        </w:rPr>
      </w:pPr>
      <w:r>
        <w:rPr>
          <w:rFonts w:hint="eastAsia"/>
          <w:b/>
          <w:bCs/>
          <w:u w:val="single"/>
        </w:rPr>
        <w:t>Congestion enhancements for XR</w:t>
      </w:r>
    </w:p>
    <w:p>
      <w:pPr>
        <w:spacing w:before="120" w:after="120"/>
      </w:pPr>
      <w:r>
        <w:rPr>
          <w:rFonts w:hint="eastAsia"/>
        </w:rPr>
        <w:t>In Rel-18, ECN based congestion mechanism has been specified for XR, e.g. RAN reports the percentage of UL and/or DL IP packets that should be ECN marked for a QoS flow. But RAN cannot know what will be the application layer</w:t>
      </w:r>
      <w:r>
        <w:t>’</w:t>
      </w:r>
      <w:r>
        <w:rPr>
          <w:rFonts w:hint="eastAsia"/>
        </w:rPr>
        <w:t>s action when receiving different percentage of DL IP packets with ECN marked, and does not know what value should be set to the percentage of UL and/or DL IP packets that should be ECN marked for a QoS flow. In XR, data rate adaptation based on network congestion state is beneficial for better user experience and NW capacity, a network</w:t>
      </w:r>
      <w:r>
        <w:t>-</w:t>
      </w:r>
      <w:r>
        <w:rPr>
          <w:rFonts w:hint="eastAsia"/>
        </w:rPr>
        <w:t xml:space="preserve">controlled data rate adaptation should be supported. </w:t>
      </w:r>
    </w:p>
    <w:p>
      <w:pPr>
        <w:pStyle w:val="61"/>
        <w:spacing w:before="120" w:after="120"/>
        <w:jc w:val="both"/>
        <w:rPr>
          <w:lang w:val="en-US" w:eastAsia="zh-CN"/>
        </w:rPr>
      </w:pPr>
      <w:bookmarkStart w:id="14" w:name="_Toc11113"/>
      <w:r>
        <w:rPr>
          <w:rFonts w:hint="eastAsia"/>
          <w:lang w:val="en-US" w:eastAsia="zh-CN"/>
        </w:rPr>
        <w:t>Study and specify network</w:t>
      </w:r>
      <w:r>
        <w:rPr>
          <w:lang w:val="en-US" w:eastAsia="zh-CN"/>
        </w:rPr>
        <w:t>-</w:t>
      </w:r>
      <w:r>
        <w:rPr>
          <w:rFonts w:hint="eastAsia"/>
          <w:lang w:val="en-US" w:eastAsia="zh-CN"/>
        </w:rPr>
        <w:t>controlled data rate adaptation [RAN3, RAN2].</w:t>
      </w:r>
      <w:bookmarkEnd w:id="14"/>
      <w:r>
        <w:rPr>
          <w:rFonts w:hint="eastAsia"/>
          <w:lang w:val="en-US" w:eastAsia="zh-CN"/>
        </w:rPr>
        <w:t xml:space="preserve"> </w:t>
      </w:r>
    </w:p>
    <w:p>
      <w:pPr>
        <w:spacing w:before="120" w:after="120"/>
        <w:rPr>
          <w:b/>
          <w:bCs/>
          <w:u w:val="single"/>
        </w:rPr>
      </w:pPr>
      <w:bookmarkStart w:id="18" w:name="_GoBack"/>
      <w:bookmarkEnd w:id="18"/>
      <w:r>
        <w:rPr>
          <w:rFonts w:hint="eastAsia"/>
          <w:b/>
          <w:bCs/>
          <w:u w:val="single"/>
        </w:rPr>
        <w:t>Link adaptation</w:t>
      </w:r>
    </w:p>
    <w:p>
      <w:pPr>
        <w:spacing w:before="120" w:after="120"/>
      </w:pPr>
      <w:r>
        <w:rPr>
          <w:rFonts w:hint="eastAsia"/>
        </w:rPr>
        <w:t>Link adaptation</w:t>
      </w:r>
      <w:r>
        <w:t xml:space="preserve"> can</w:t>
      </w:r>
      <w:r>
        <w:rPr>
          <w:rFonts w:hint="eastAsia"/>
        </w:rPr>
        <w:t xml:space="preserve"> support low latency XR service. </w:t>
      </w:r>
      <w:r>
        <w:t>B</w:t>
      </w:r>
      <w:r>
        <w:rPr>
          <w:rFonts w:hint="eastAsia"/>
        </w:rPr>
        <w:t>e</w:t>
      </w:r>
      <w:r>
        <w:t>ing</w:t>
      </w:r>
      <w:r>
        <w:rPr>
          <w:rFonts w:hint="eastAsia"/>
        </w:rPr>
        <w:t xml:space="preserve"> aware of the remaining PDB of XR packet is not sufficient for re-transmission</w:t>
      </w:r>
      <w:r>
        <w:t xml:space="preserve"> scheduling</w:t>
      </w:r>
      <w:r>
        <w:rPr>
          <w:rFonts w:hint="eastAsia"/>
        </w:rPr>
        <w:t xml:space="preserve">, gNB can adopt </w:t>
      </w:r>
      <w:r>
        <w:t>more accurate</w:t>
      </w:r>
      <w:r>
        <w:rPr>
          <w:rFonts w:hint="eastAsia"/>
        </w:rPr>
        <w:t xml:space="preserve"> MCS or quick adaptation, resulting in high resource efficiency and short transmission latency. As a result, two aspects of benefits are identified: </w:t>
      </w:r>
    </w:p>
    <w:p>
      <w:pPr>
        <w:numPr>
          <w:ilvl w:val="0"/>
          <w:numId w:val="8"/>
        </w:numPr>
        <w:spacing w:before="120" w:after="120"/>
      </w:pPr>
      <w:r>
        <w:rPr>
          <w:rFonts w:hint="eastAsia"/>
        </w:rPr>
        <w:t>Capacity performance improvement: using DMRS</w:t>
      </w:r>
      <w:r>
        <w:t>/</w:t>
      </w:r>
      <w:r>
        <w:rPr>
          <w:rFonts w:hint="eastAsia"/>
        </w:rPr>
        <w:t>PDSCH</w:t>
      </w:r>
      <w:r>
        <w:t xml:space="preserve"> for </w:t>
      </w:r>
      <w:r>
        <w:rPr>
          <w:rFonts w:hint="eastAsia"/>
        </w:rPr>
        <w:t xml:space="preserve">real-time channel measurement </w:t>
      </w:r>
      <w:r>
        <w:t>so that</w:t>
      </w:r>
      <w:r>
        <w:rPr>
          <w:rFonts w:hint="eastAsia"/>
        </w:rPr>
        <w:t xml:space="preserve"> more accurate MCS can be adopted. </w:t>
      </w:r>
    </w:p>
    <w:p>
      <w:pPr>
        <w:numPr>
          <w:ilvl w:val="0"/>
          <w:numId w:val="8"/>
        </w:numPr>
        <w:spacing w:before="120" w:after="120"/>
      </w:pPr>
      <w:r>
        <w:rPr>
          <w:rFonts w:hint="eastAsia"/>
        </w:rPr>
        <w:t>UE power saving: reduc</w:t>
      </w:r>
      <w:r>
        <w:t>ing</w:t>
      </w:r>
      <w:r>
        <w:rPr>
          <w:rFonts w:hint="eastAsia"/>
        </w:rPr>
        <w:t xml:space="preserve"> the re-transmission</w:t>
      </w:r>
      <w:r>
        <w:t xml:space="preserve"> times</w:t>
      </w:r>
      <w:r>
        <w:rPr>
          <w:rFonts w:hint="eastAsia"/>
        </w:rPr>
        <w:t>, helping UE earlier terminate packet transmission and go to sleep.</w:t>
      </w:r>
    </w:p>
    <w:p>
      <w:pPr>
        <w:pStyle w:val="58"/>
        <w:spacing w:before="120" w:after="120"/>
      </w:pPr>
      <w:bookmarkStart w:id="15" w:name="_Toc21598"/>
      <w:bookmarkStart w:id="16" w:name="_Toc30530"/>
      <w:r>
        <w:rPr>
          <w:lang w:val="en-US" w:eastAsia="zh-CN"/>
        </w:rPr>
        <w:t>Link adaptation can improve capacity performance and power saving gain.</w:t>
      </w:r>
      <w:bookmarkEnd w:id="15"/>
      <w:bookmarkEnd w:id="16"/>
    </w:p>
    <w:p>
      <w:pPr>
        <w:pStyle w:val="2"/>
        <w:spacing w:before="120" w:after="120"/>
        <w:ind w:left="0"/>
      </w:pPr>
      <w:r>
        <w:rPr>
          <w:rFonts w:hint="eastAsia" w:eastAsia="宋体"/>
        </w:rPr>
        <w:t>UE power saving improvement</w:t>
      </w:r>
    </w:p>
    <w:p>
      <w:pPr>
        <w:spacing w:before="120" w:after="120"/>
      </w:pPr>
      <w:r>
        <w:t xml:space="preserve">The arrival time of XR packets with jitter makes the packet arrival fluctuating around periodic benchmarks. </w:t>
      </w:r>
      <w:r>
        <w:rPr>
          <w:rFonts w:hint="eastAsia"/>
        </w:rPr>
        <w:t xml:space="preserve">This will cause the mismatch between XR traffic </w:t>
      </w:r>
      <w:r>
        <w:t>b</w:t>
      </w:r>
      <w:r>
        <w:rPr>
          <w:rFonts w:hint="eastAsia"/>
        </w:rPr>
        <w:t xml:space="preserve">urst arrive time and start </w:t>
      </w:r>
      <w:r>
        <w:t xml:space="preserve">of </w:t>
      </w:r>
      <w:r>
        <w:rPr>
          <w:rFonts w:hint="eastAsia"/>
        </w:rPr>
        <w:t xml:space="preserve">C-DRX on-duration timer and </w:t>
      </w:r>
      <w:r>
        <w:t>in</w:t>
      </w:r>
      <w:r>
        <w:rPr>
          <w:rFonts w:hint="eastAsia"/>
        </w:rPr>
        <w:t>efficient CG based scheduling</w:t>
      </w:r>
      <w:r>
        <w:t>, etc.</w:t>
      </w:r>
      <w:r>
        <w:rPr>
          <w:rFonts w:hint="eastAsia"/>
        </w:rPr>
        <w:t xml:space="preserve">, </w:t>
      </w:r>
      <w:r>
        <w:t>which may finally lead to system</w:t>
      </w:r>
      <w:r>
        <w:rPr>
          <w:rFonts w:hint="eastAsia"/>
        </w:rPr>
        <w:t xml:space="preserve"> </w:t>
      </w:r>
      <w:r>
        <w:t>capacity loss</w:t>
      </w:r>
      <w:r>
        <w:rPr>
          <w:rFonts w:hint="eastAsia"/>
        </w:rPr>
        <w:t>, increas</w:t>
      </w:r>
      <w:r>
        <w:t>ed</w:t>
      </w:r>
      <w:r>
        <w:rPr>
          <w:rFonts w:hint="eastAsia"/>
        </w:rPr>
        <w:t xml:space="preserve"> l</w:t>
      </w:r>
      <w:r>
        <w:t>a</w:t>
      </w:r>
      <w:r>
        <w:rPr>
          <w:rFonts w:hint="eastAsia"/>
        </w:rPr>
        <w:t xml:space="preserve">tency, </w:t>
      </w:r>
      <w:r>
        <w:t xml:space="preserve">more </w:t>
      </w:r>
      <w:r>
        <w:rPr>
          <w:rFonts w:hint="eastAsia"/>
        </w:rPr>
        <w:t xml:space="preserve">UE power </w:t>
      </w:r>
      <w:r>
        <w:t xml:space="preserve">consumption. </w:t>
      </w:r>
      <w:r>
        <w:rPr>
          <w:rFonts w:hint="eastAsia"/>
        </w:rPr>
        <w:t>S</w:t>
      </w:r>
      <w:r>
        <w:t xml:space="preserve">ome enhancements to avoid </w:t>
      </w:r>
      <w:r>
        <w:rPr>
          <w:rFonts w:hint="eastAsia"/>
        </w:rPr>
        <w:t>this issue should be considered, e</w:t>
      </w:r>
      <w:r>
        <w:t>.</w:t>
      </w:r>
      <w:r>
        <w:rPr>
          <w:rFonts w:hint="eastAsia"/>
        </w:rPr>
        <w:t xml:space="preserve">g. </w:t>
      </w:r>
      <w:r>
        <w:t>d</w:t>
      </w:r>
      <w:r>
        <w:rPr>
          <w:rFonts w:hint="eastAsia"/>
        </w:rPr>
        <w:t>ynamically adjust</w:t>
      </w:r>
      <w:r>
        <w:t>ing</w:t>
      </w:r>
      <w:r>
        <w:rPr>
          <w:rFonts w:hint="eastAsia"/>
        </w:rPr>
        <w:t xml:space="preserve"> the C-DRX ON duration and PDCCH monitoring occasion based on the traffic pattern</w:t>
      </w:r>
      <w:r>
        <w:t xml:space="preserve"> </w:t>
      </w:r>
      <w:r>
        <w:rPr>
          <w:rFonts w:hint="eastAsia"/>
        </w:rPr>
        <w:t>(e.g. the jitter of burst arrive time).</w:t>
      </w:r>
    </w:p>
    <w:p>
      <w:pPr>
        <w:pStyle w:val="61"/>
        <w:spacing w:before="120" w:after="120"/>
        <w:jc w:val="both"/>
        <w:rPr>
          <w:lang w:val="en-US" w:eastAsia="zh-CN"/>
        </w:rPr>
      </w:pPr>
      <w:bookmarkStart w:id="17" w:name="_Toc23499"/>
      <w:r>
        <w:rPr>
          <w:rFonts w:hint="eastAsia"/>
          <w:lang w:val="en-US" w:eastAsia="zh-CN"/>
        </w:rPr>
        <w:t>Specify adjustment of the C-DRX ON duration and PDCCH monitoring occasion based on the traffic pattern</w:t>
      </w:r>
      <w:r>
        <w:rPr>
          <w:lang w:val="en-US" w:eastAsia="zh-CN"/>
        </w:rPr>
        <w:t xml:space="preserve"> </w:t>
      </w:r>
      <w:r>
        <w:rPr>
          <w:rFonts w:hint="eastAsia"/>
          <w:lang w:val="en-US" w:eastAsia="zh-CN"/>
        </w:rPr>
        <w:t>(e.g. the jitter of burst arrive time) [RAN2].</w:t>
      </w:r>
      <w:bookmarkEnd w:id="17"/>
      <w:r>
        <w:rPr>
          <w:rFonts w:hint="eastAsia"/>
          <w:lang w:val="en-US" w:eastAsia="zh-CN"/>
        </w:rPr>
        <w:t xml:space="preserve"> </w:t>
      </w:r>
    </w:p>
    <w:p>
      <w:pPr>
        <w:pStyle w:val="2"/>
        <w:spacing w:before="120" w:after="120"/>
        <w:ind w:left="0"/>
        <w:rPr>
          <w:rFonts w:eastAsia="宋体"/>
        </w:rPr>
      </w:pPr>
      <w:r>
        <w:rPr>
          <w:rFonts w:eastAsia="宋体"/>
        </w:rPr>
        <w:t>Conclusion</w:t>
      </w:r>
    </w:p>
    <w:p>
      <w:pPr>
        <w:spacing w:before="120" w:after="120"/>
      </w:pPr>
      <w:r>
        <w:rPr>
          <w:rFonts w:hint="eastAsia"/>
        </w:rPr>
        <w:t>In this contribution, we have the following observations/proposals:</w:t>
      </w:r>
    </w:p>
    <w:p>
      <w:pPr>
        <w:pStyle w:val="19"/>
        <w:tabs>
          <w:tab w:val="right" w:leader="dot" w:pos="9660"/>
          <w:tab w:val="clear" w:pos="0"/>
        </w:tabs>
      </w:pPr>
      <w:r>
        <w:rPr>
          <w:sz w:val="21"/>
          <w:szCs w:val="22"/>
        </w:rPr>
        <w:fldChar w:fldCharType="begin"/>
      </w:r>
      <w:r>
        <w:rPr>
          <w:sz w:val="21"/>
          <w:szCs w:val="22"/>
        </w:rPr>
        <w:instrText xml:space="preserve">TOC \n  \t "YJ-Observation,1,sub-observation,2,3rd level observation,3" \h</w:instrText>
      </w:r>
      <w:r>
        <w:rPr>
          <w:sz w:val="21"/>
          <w:szCs w:val="22"/>
        </w:rPr>
        <w:fldChar w:fldCharType="separate"/>
      </w:r>
      <w:r>
        <w:rPr>
          <w:szCs w:val="22"/>
        </w:rPr>
        <w:fldChar w:fldCharType="begin"/>
      </w:r>
      <w:r>
        <w:rPr>
          <w:szCs w:val="22"/>
        </w:rPr>
        <w:instrText xml:space="preserve"> HYPERLINK \l _Toc8673 </w:instrText>
      </w:r>
      <w:r>
        <w:rPr>
          <w:szCs w:val="22"/>
        </w:rPr>
        <w:fldChar w:fldCharType="separate"/>
      </w:r>
      <w:r>
        <w:rPr>
          <w:rFonts w:hint="default" w:ascii="Times New Roman" w:hAnsi="Times New Roman" w:eastAsia="宋体" w:cs="Times New Roman"/>
          <w:bCs/>
          <w:i/>
          <w:iCs/>
          <w:lang w:val="en-US" w:eastAsia="zh-CN"/>
        </w:rPr>
        <w:t xml:space="preserve">Observation 1: </w:t>
      </w:r>
      <w:r>
        <w:rPr>
          <w:rFonts w:hint="eastAsia"/>
          <w:lang w:val="en-US" w:eastAsia="zh-CN"/>
        </w:rPr>
        <w:t xml:space="preserve">Multi-modality awareness should be considered for </w:t>
      </w:r>
      <w:r>
        <w:rPr>
          <w:lang w:val="en-US" w:eastAsia="zh-CN"/>
        </w:rPr>
        <w:t>XR</w:t>
      </w:r>
      <w:r>
        <w:rPr>
          <w:rFonts w:hint="eastAsia"/>
          <w:lang w:val="en-US" w:eastAsia="zh-CN"/>
        </w:rPr>
        <w:t xml:space="preserve"> enhancement</w:t>
      </w:r>
      <w:r>
        <w:rPr>
          <w:lang w:val="en-US" w:eastAsia="zh-CN"/>
        </w:rPr>
        <w:t xml:space="preserve"> in Rel-19</w:t>
      </w:r>
      <w:r>
        <w:rPr>
          <w:rFonts w:hint="eastAsia"/>
          <w:lang w:val="en-US" w:eastAsia="zh-CN"/>
        </w:rPr>
        <w:t>.</w:t>
      </w:r>
      <w:r>
        <w:rPr>
          <w:szCs w:val="22"/>
        </w:rPr>
        <w:fldChar w:fldCharType="end"/>
      </w:r>
    </w:p>
    <w:p>
      <w:pPr>
        <w:pStyle w:val="19"/>
        <w:tabs>
          <w:tab w:val="right" w:leader="dot" w:pos="9660"/>
          <w:tab w:val="clear" w:pos="0"/>
        </w:tabs>
      </w:pPr>
      <w:r>
        <w:rPr>
          <w:szCs w:val="22"/>
        </w:rPr>
        <w:fldChar w:fldCharType="begin"/>
      </w:r>
      <w:r>
        <w:rPr>
          <w:szCs w:val="22"/>
        </w:rPr>
        <w:instrText xml:space="preserve"> HYPERLINK \l _Toc13581 </w:instrText>
      </w:r>
      <w:r>
        <w:rPr>
          <w:szCs w:val="22"/>
        </w:rPr>
        <w:fldChar w:fldCharType="separate"/>
      </w:r>
      <w:r>
        <w:rPr>
          <w:rFonts w:hint="default" w:ascii="Times New Roman" w:hAnsi="Times New Roman" w:eastAsia="宋体" w:cs="Times New Roman"/>
          <w:bCs/>
          <w:i/>
          <w:iCs/>
          <w:lang w:val="en-US" w:eastAsia="zh-CN"/>
        </w:rPr>
        <w:t xml:space="preserve">Observation 2: </w:t>
      </w:r>
      <w:r>
        <w:rPr>
          <w:lang w:val="en-US" w:eastAsia="zh-CN"/>
        </w:rPr>
        <w:t>UL enhancements for multi-modality can be supported in</w:t>
      </w:r>
      <w:r>
        <w:rPr>
          <w:rFonts w:hint="eastAsia"/>
          <w:lang w:val="en-US" w:eastAsia="zh-CN"/>
        </w:rPr>
        <w:t xml:space="preserve"> RAN without </w:t>
      </w:r>
      <w:r>
        <w:rPr>
          <w:lang w:val="en-US" w:eastAsia="zh-CN"/>
        </w:rPr>
        <w:t>SA/CT involvement, whilst support from SA/CT would be beneficial for multi-modality support in DL</w:t>
      </w:r>
      <w:r>
        <w:rPr>
          <w:rFonts w:hint="eastAsia"/>
          <w:lang w:val="en-US" w:eastAsia="zh-CN"/>
        </w:rPr>
        <w:t>.</w:t>
      </w:r>
      <w:r>
        <w:rPr>
          <w:szCs w:val="22"/>
        </w:rPr>
        <w:fldChar w:fldCharType="end"/>
      </w:r>
    </w:p>
    <w:p>
      <w:pPr>
        <w:pStyle w:val="19"/>
        <w:tabs>
          <w:tab w:val="right" w:leader="dot" w:pos="9660"/>
          <w:tab w:val="clear" w:pos="0"/>
        </w:tabs>
      </w:pPr>
      <w:r>
        <w:rPr>
          <w:szCs w:val="22"/>
        </w:rPr>
        <w:fldChar w:fldCharType="begin"/>
      </w:r>
      <w:r>
        <w:rPr>
          <w:szCs w:val="22"/>
        </w:rPr>
        <w:instrText xml:space="preserve"> HYPERLINK \l _Toc30530 </w:instrText>
      </w:r>
      <w:r>
        <w:rPr>
          <w:szCs w:val="22"/>
        </w:rPr>
        <w:fldChar w:fldCharType="separate"/>
      </w:r>
      <w:r>
        <w:rPr>
          <w:rFonts w:hint="default" w:ascii="Times New Roman" w:hAnsi="Times New Roman" w:eastAsia="宋体" w:cs="Times New Roman"/>
          <w:bCs/>
          <w:i/>
          <w:iCs/>
          <w:lang w:val="en-US"/>
        </w:rPr>
        <w:t xml:space="preserve">Observation 3: </w:t>
      </w:r>
      <w:r>
        <w:rPr>
          <w:lang w:val="en-US" w:eastAsia="zh-CN"/>
        </w:rPr>
        <w:t>Link adaptation can improve capacity performance and power saving gain.</w:t>
      </w:r>
      <w:r>
        <w:rPr>
          <w:szCs w:val="22"/>
        </w:rPr>
        <w:fldChar w:fldCharType="end"/>
      </w:r>
    </w:p>
    <w:p>
      <w:pPr>
        <w:spacing w:before="120" w:after="120"/>
        <w:rPr>
          <w:szCs w:val="22"/>
        </w:rPr>
      </w:pPr>
      <w:r>
        <w:rPr>
          <w:szCs w:val="22"/>
        </w:rPr>
        <w:fldChar w:fldCharType="end"/>
      </w:r>
    </w:p>
    <w:p>
      <w:pPr>
        <w:pStyle w:val="19"/>
        <w:tabs>
          <w:tab w:val="right" w:leader="dot" w:pos="9660"/>
          <w:tab w:val="clear" w:pos="0"/>
        </w:tabs>
      </w:pPr>
      <w:r>
        <w:fldChar w:fldCharType="begin"/>
      </w:r>
      <w:r>
        <w:instrText xml:space="preserve">TOC \n  \t "YJ-Proposal,1,sub-proposal,2,3rd level proposal,3" \h</w:instrText>
      </w:r>
      <w:r>
        <w:fldChar w:fldCharType="separate"/>
      </w:r>
      <w:r>
        <w:fldChar w:fldCharType="begin"/>
      </w:r>
      <w:r>
        <w:instrText xml:space="preserve"> HYPERLINK \l _Toc1674 </w:instrText>
      </w:r>
      <w:r>
        <w:fldChar w:fldCharType="separate"/>
      </w:r>
      <w:r>
        <w:rPr>
          <w:rFonts w:hint="default" w:ascii="Times New Roman" w:hAnsi="Times New Roman" w:eastAsia="宋体" w:cs="Times New Roman"/>
          <w:bCs/>
          <w:i/>
          <w:iCs/>
        </w:rPr>
        <w:t xml:space="preserve">Proposal 1: </w:t>
      </w:r>
      <w:r>
        <w:rPr>
          <w:rFonts w:hint="eastAsia"/>
          <w:lang w:val="en-US" w:eastAsia="zh-CN"/>
        </w:rPr>
        <w:t>Study and specify potential capacity enhancement for</w:t>
      </w:r>
      <w:r>
        <w:rPr>
          <w:lang w:val="en-US" w:eastAsia="zh-CN"/>
        </w:rPr>
        <w:t xml:space="preserve"> </w:t>
      </w:r>
      <w:r>
        <w:rPr>
          <w:rFonts w:hint="eastAsia"/>
          <w:lang w:val="en-US" w:eastAsia="zh-CN"/>
        </w:rPr>
        <w:t>multi-modality traffic characteristic</w:t>
      </w:r>
      <w:r>
        <w:rPr>
          <w:lang w:val="en-US" w:eastAsia="zh-CN"/>
        </w:rPr>
        <w:t>s</w:t>
      </w:r>
      <w:r>
        <w:rPr>
          <w:rFonts w:hint="eastAsia"/>
          <w:lang w:val="en-US" w:eastAsia="zh-CN"/>
        </w:rPr>
        <w:t xml:space="preserve"> (RAN1, RAN2, RAN3)</w:t>
      </w:r>
      <w:r>
        <w:fldChar w:fldCharType="end"/>
      </w:r>
    </w:p>
    <w:p>
      <w:pPr>
        <w:pStyle w:val="19"/>
        <w:tabs>
          <w:tab w:val="right" w:leader="dot" w:pos="9660"/>
          <w:tab w:val="clear" w:pos="0"/>
        </w:tabs>
        <w:ind w:leftChars="100"/>
      </w:pPr>
      <w:r>
        <w:fldChar w:fldCharType="begin"/>
      </w:r>
      <w:r>
        <w:instrText xml:space="preserve"> HYPERLINK \l _Toc3753 </w:instrText>
      </w:r>
      <w:r>
        <w:fldChar w:fldCharType="separate"/>
      </w:r>
      <w:r>
        <w:rPr>
          <w:rFonts w:hint="default" w:ascii="Arial" w:hAnsi="Arial" w:eastAsia="宋体" w:cs="Arial"/>
          <w:bCs/>
          <w:i/>
          <w:iCs/>
        </w:rPr>
        <w:t xml:space="preserve">• </w:t>
      </w:r>
      <w:r>
        <w:rPr>
          <w:rFonts w:hint="eastAsia"/>
        </w:rPr>
        <w:t>Study RAN enhancement mechanism on synchronization and coordination for multi-flow of single UE (e.g., haptic, voice, video)</w:t>
      </w:r>
      <w:r>
        <w:rPr>
          <w:rFonts w:hint="eastAsia"/>
          <w:lang w:val="en-US" w:eastAsia="zh-CN"/>
        </w:rPr>
        <w:t>.</w:t>
      </w:r>
      <w:r>
        <w:fldChar w:fldCharType="end"/>
      </w:r>
    </w:p>
    <w:p>
      <w:pPr>
        <w:pStyle w:val="19"/>
        <w:tabs>
          <w:tab w:val="right" w:leader="dot" w:pos="9660"/>
          <w:tab w:val="clear" w:pos="0"/>
        </w:tabs>
        <w:ind w:leftChars="200"/>
      </w:pPr>
      <w:r>
        <w:fldChar w:fldCharType="begin"/>
      </w:r>
      <w:r>
        <w:instrText xml:space="preserve"> HYPERLINK \l _Toc13905 </w:instrText>
      </w:r>
      <w:r>
        <w:fldChar w:fldCharType="separate"/>
      </w:r>
      <w:r>
        <w:rPr>
          <w:rFonts w:hint="default"/>
        </w:rPr>
        <w:t xml:space="preserve">i. </w:t>
      </w:r>
      <w:r>
        <w:rPr>
          <w:rFonts w:hint="eastAsia"/>
        </w:rPr>
        <w:t>Multi-flow awareness for multi-modality service</w:t>
      </w:r>
      <w:r>
        <w:rPr>
          <w:rFonts w:hint="eastAsia"/>
          <w:lang w:val="en-US" w:eastAsia="zh-CN"/>
        </w:rPr>
        <w:t>.</w:t>
      </w:r>
      <w:r>
        <w:fldChar w:fldCharType="end"/>
      </w:r>
    </w:p>
    <w:p>
      <w:pPr>
        <w:pStyle w:val="19"/>
        <w:tabs>
          <w:tab w:val="right" w:leader="dot" w:pos="9660"/>
          <w:tab w:val="clear" w:pos="0"/>
        </w:tabs>
        <w:ind w:leftChars="200"/>
      </w:pPr>
      <w:r>
        <w:fldChar w:fldCharType="begin"/>
      </w:r>
      <w:r>
        <w:instrText xml:space="preserve"> HYPERLINK \l _Toc16636 </w:instrText>
      </w:r>
      <w:r>
        <w:fldChar w:fldCharType="separate"/>
      </w:r>
      <w:r>
        <w:rPr>
          <w:rFonts w:hint="default"/>
        </w:rPr>
        <w:t xml:space="preserve">ii. </w:t>
      </w:r>
      <w:r>
        <w:rPr>
          <w:rFonts w:hint="eastAsia"/>
        </w:rPr>
        <w:t>Scheduling enhancement</w:t>
      </w:r>
      <w:r>
        <w:t>s</w:t>
      </w:r>
      <w:r>
        <w:rPr>
          <w:rFonts w:hint="eastAsia"/>
        </w:rPr>
        <w:t xml:space="preserve"> on synchronization and coordination for multi-flow of single UE</w:t>
      </w:r>
      <w:r>
        <w:rPr>
          <w:rFonts w:hint="eastAsia"/>
          <w:lang w:val="en-US" w:eastAsia="zh-CN"/>
        </w:rPr>
        <w:t>.</w:t>
      </w:r>
      <w:r>
        <w:fldChar w:fldCharType="end"/>
      </w:r>
    </w:p>
    <w:p>
      <w:pPr>
        <w:pStyle w:val="19"/>
        <w:tabs>
          <w:tab w:val="right" w:leader="dot" w:pos="9660"/>
          <w:tab w:val="clear" w:pos="0"/>
        </w:tabs>
        <w:ind w:leftChars="100"/>
      </w:pPr>
      <w:r>
        <w:fldChar w:fldCharType="begin"/>
      </w:r>
      <w:r>
        <w:instrText xml:space="preserve"> HYPERLINK \l _Toc5893 </w:instrText>
      </w:r>
      <w:r>
        <w:fldChar w:fldCharType="separate"/>
      </w:r>
      <w:r>
        <w:rPr>
          <w:rFonts w:hint="default" w:ascii="Arial" w:hAnsi="Arial" w:eastAsia="宋体" w:cs="Arial"/>
          <w:bCs/>
          <w:i/>
          <w:iCs/>
        </w:rPr>
        <w:t xml:space="preserve">• </w:t>
      </w:r>
      <w:r>
        <w:rPr>
          <w:rFonts w:hint="eastAsia"/>
          <w:lang w:val="en-US" w:eastAsia="zh-CN"/>
        </w:rPr>
        <w:t>For multi-modal traffic scheduling enhancement:</w:t>
      </w:r>
      <w:r>
        <w:fldChar w:fldCharType="end"/>
      </w:r>
    </w:p>
    <w:p>
      <w:pPr>
        <w:pStyle w:val="19"/>
        <w:tabs>
          <w:tab w:val="right" w:leader="dot" w:pos="9660"/>
          <w:tab w:val="clear" w:pos="0"/>
        </w:tabs>
        <w:ind w:leftChars="200"/>
      </w:pPr>
      <w:r>
        <w:fldChar w:fldCharType="begin"/>
      </w:r>
      <w:r>
        <w:instrText xml:space="preserve"> HYPERLINK \l _Toc508 </w:instrText>
      </w:r>
      <w:r>
        <w:fldChar w:fldCharType="separate"/>
      </w:r>
      <w:r>
        <w:rPr>
          <w:rFonts w:hint="default"/>
          <w:lang w:val="en-US" w:eastAsia="zh-CN"/>
        </w:rPr>
        <w:t xml:space="preserve">i. </w:t>
      </w:r>
      <w:r>
        <w:rPr>
          <w:rFonts w:hint="eastAsia"/>
          <w:lang w:val="en-US" w:eastAsia="zh-CN"/>
        </w:rPr>
        <w:t xml:space="preserve">Multi-modal traffic scheduling enhancement, e.g., uplink synchronization request reporting, </w:t>
      </w:r>
      <w:r>
        <w:rPr>
          <w:lang w:val="en-US" w:eastAsia="zh-CN"/>
        </w:rPr>
        <w:t xml:space="preserve">intra-UE </w:t>
      </w:r>
      <w:r>
        <w:rPr>
          <w:rFonts w:hint="eastAsia"/>
          <w:lang w:val="en-US" w:eastAsia="zh-CN"/>
        </w:rPr>
        <w:t>PDSCH</w:t>
      </w:r>
      <w:r>
        <w:rPr>
          <w:lang w:val="en-US" w:eastAsia="zh-CN"/>
        </w:rPr>
        <w:t>/PUSCH</w:t>
      </w:r>
      <w:r>
        <w:rPr>
          <w:rFonts w:hint="eastAsia"/>
          <w:lang w:val="en-US" w:eastAsia="zh-CN"/>
        </w:rPr>
        <w:t xml:space="preserve"> multiplex</w:t>
      </w:r>
      <w:r>
        <w:rPr>
          <w:lang w:val="en-US" w:eastAsia="zh-CN"/>
        </w:rPr>
        <w:t>ing</w:t>
      </w:r>
      <w:r>
        <w:rPr>
          <w:rFonts w:hint="eastAsia"/>
          <w:lang w:val="en-US" w:eastAsia="zh-CN"/>
        </w:rPr>
        <w:t xml:space="preserve"> in a slot.</w:t>
      </w:r>
      <w:r>
        <w:fldChar w:fldCharType="end"/>
      </w:r>
    </w:p>
    <w:p>
      <w:pPr>
        <w:pStyle w:val="19"/>
        <w:tabs>
          <w:tab w:val="right" w:leader="dot" w:pos="9660"/>
          <w:tab w:val="clear" w:pos="0"/>
        </w:tabs>
        <w:ind w:leftChars="100"/>
      </w:pPr>
      <w:r>
        <w:fldChar w:fldCharType="begin"/>
      </w:r>
      <w:r>
        <w:instrText xml:space="preserve"> HYPERLINK \l _Toc19538 </w:instrText>
      </w:r>
      <w:r>
        <w:fldChar w:fldCharType="separate"/>
      </w:r>
      <w:r>
        <w:rPr>
          <w:rFonts w:hint="default" w:ascii="Arial" w:hAnsi="Arial" w:eastAsia="宋体" w:cs="Arial"/>
          <w:bCs/>
          <w:i/>
          <w:iCs/>
        </w:rPr>
        <w:t xml:space="preserve">• </w:t>
      </w:r>
      <w:r>
        <w:rPr>
          <w:rFonts w:hint="eastAsia"/>
          <w:lang w:val="en-US" w:eastAsia="zh-CN"/>
        </w:rPr>
        <w:t>Study new measurements (NG-RAN and UE), define new evaluation mechanisms for synchronization of media and the performance of multi-modality services, including, study multi-modality services performance monitoring mechanism:</w:t>
      </w:r>
      <w:r>
        <w:fldChar w:fldCharType="end"/>
      </w:r>
    </w:p>
    <w:p>
      <w:pPr>
        <w:pStyle w:val="19"/>
        <w:tabs>
          <w:tab w:val="right" w:leader="dot" w:pos="9660"/>
          <w:tab w:val="clear" w:pos="0"/>
        </w:tabs>
        <w:ind w:leftChars="200"/>
      </w:pPr>
      <w:r>
        <w:fldChar w:fldCharType="begin"/>
      </w:r>
      <w:r>
        <w:instrText xml:space="preserve"> HYPERLINK \l _Toc5201 </w:instrText>
      </w:r>
      <w:r>
        <w:fldChar w:fldCharType="separate"/>
      </w:r>
      <w:r>
        <w:rPr>
          <w:rFonts w:hint="default"/>
        </w:rPr>
        <w:t xml:space="preserve">i. </w:t>
      </w:r>
      <w:r>
        <w:rPr>
          <w:rFonts w:hint="eastAsia"/>
          <w:lang w:val="en-US" w:eastAsia="zh-CN"/>
        </w:rPr>
        <w:t>Possible new metrics (e.g., jitter, motion to sound/photon latency). Configure threshold(s) and/or condition(s) for triggering reports.</w:t>
      </w:r>
      <w:r>
        <w:fldChar w:fldCharType="end"/>
      </w:r>
    </w:p>
    <w:p>
      <w:pPr>
        <w:pStyle w:val="19"/>
        <w:tabs>
          <w:tab w:val="right" w:leader="dot" w:pos="9660"/>
          <w:tab w:val="clear" w:pos="0"/>
        </w:tabs>
        <w:ind w:leftChars="200"/>
      </w:pPr>
      <w:r>
        <w:fldChar w:fldCharType="begin"/>
      </w:r>
      <w:r>
        <w:instrText xml:space="preserve"> HYPERLINK \l _Toc11586 </w:instrText>
      </w:r>
      <w:r>
        <w:fldChar w:fldCharType="separate"/>
      </w:r>
      <w:r>
        <w:rPr>
          <w:rFonts w:hint="default"/>
          <w:lang w:val="en-US" w:eastAsia="zh-CN"/>
        </w:rPr>
        <w:t xml:space="preserve">ii. </w:t>
      </w:r>
      <w:r>
        <w:rPr>
          <w:rFonts w:hint="eastAsia"/>
          <w:lang w:val="en-US" w:eastAsia="zh-CN"/>
        </w:rPr>
        <w:t>New measurements for multi-modality services: To evaluate the UE experience quality for multi-modality service in a cell, the RAN may need to obtain UE assistance information for evaluation (e.g. UE-level or 5QI-level PSDB/PSER data, PSDB satisfaction rate).</w:t>
      </w:r>
      <w:r>
        <w:fldChar w:fldCharType="end"/>
      </w:r>
    </w:p>
    <w:p>
      <w:pPr>
        <w:pStyle w:val="19"/>
        <w:tabs>
          <w:tab w:val="right" w:leader="dot" w:pos="9660"/>
          <w:tab w:val="clear" w:pos="0"/>
        </w:tabs>
      </w:pPr>
      <w:r>
        <w:fldChar w:fldCharType="begin"/>
      </w:r>
      <w:r>
        <w:instrText xml:space="preserve"> HYPERLINK \l _Toc7637 </w:instrText>
      </w:r>
      <w:r>
        <w:fldChar w:fldCharType="separate"/>
      </w:r>
      <w:r>
        <w:rPr>
          <w:rFonts w:hint="default" w:ascii="Times New Roman" w:hAnsi="Times New Roman" w:eastAsia="宋体" w:cs="Times New Roman"/>
          <w:bCs/>
          <w:i/>
          <w:iCs/>
          <w:lang w:val="en-US" w:eastAsia="zh-CN"/>
        </w:rPr>
        <w:t xml:space="preserve">Proposal 2: </w:t>
      </w:r>
      <w:r>
        <w:rPr>
          <w:rFonts w:hint="eastAsia"/>
          <w:lang w:val="en-US" w:eastAsia="zh-CN"/>
        </w:rPr>
        <w:t>Specify adaptive measurement gap/flexible scheduling restrictions for XR capacity enhancements, e.g., for FR1 and FR2 inter-frequency RRM measurements with measurement gaps and FR2 intra-frequency measurements w/o measurement gaps. [RAN1, RAN2, RAN4]</w:t>
      </w:r>
      <w:r>
        <w:fldChar w:fldCharType="end"/>
      </w:r>
    </w:p>
    <w:p>
      <w:pPr>
        <w:pStyle w:val="19"/>
        <w:tabs>
          <w:tab w:val="right" w:leader="dot" w:pos="9660"/>
          <w:tab w:val="clear" w:pos="0"/>
        </w:tabs>
      </w:pPr>
      <w:r>
        <w:fldChar w:fldCharType="begin"/>
      </w:r>
      <w:r>
        <w:instrText xml:space="preserve"> HYPERLINK \l _Toc12119 </w:instrText>
      </w:r>
      <w:r>
        <w:fldChar w:fldCharType="separate"/>
      </w:r>
      <w:r>
        <w:rPr>
          <w:rFonts w:hint="default" w:ascii="Times New Roman" w:hAnsi="Times New Roman" w:eastAsia="宋体" w:cs="Times New Roman"/>
          <w:bCs/>
          <w:i/>
          <w:iCs/>
          <w:lang w:val="en-US" w:eastAsia="zh-CN"/>
        </w:rPr>
        <w:t xml:space="preserve">Proposal 3: </w:t>
      </w:r>
      <w:r>
        <w:rPr>
          <w:rFonts w:hint="eastAsia"/>
          <w:lang w:val="en-US" w:eastAsia="zh-CN"/>
        </w:rPr>
        <w:t xml:space="preserve">Specify </w:t>
      </w:r>
      <w:r>
        <w:rPr>
          <w:lang w:val="en-US" w:eastAsia="zh-CN"/>
        </w:rPr>
        <w:t xml:space="preserve">further enhancement on </w:t>
      </w:r>
      <w:r>
        <w:rPr>
          <w:rFonts w:hint="eastAsia"/>
          <w:lang w:val="en-US" w:eastAsia="zh-CN"/>
        </w:rPr>
        <w:t>configured grant enhancement, including e.g., UTO-UCI for multiple CG configurations, repetition of multi-PUSCHs CG configuration, and UTO-UCI indicating CG with repetition factor larger than one [RAN1].</w:t>
      </w:r>
      <w:r>
        <w:fldChar w:fldCharType="end"/>
      </w:r>
    </w:p>
    <w:p>
      <w:pPr>
        <w:pStyle w:val="19"/>
        <w:tabs>
          <w:tab w:val="right" w:leader="dot" w:pos="9660"/>
          <w:tab w:val="clear" w:pos="0"/>
        </w:tabs>
      </w:pPr>
      <w:r>
        <w:fldChar w:fldCharType="begin"/>
      </w:r>
      <w:r>
        <w:instrText xml:space="preserve"> HYPERLINK \l _Toc20685 </w:instrText>
      </w:r>
      <w:r>
        <w:fldChar w:fldCharType="separate"/>
      </w:r>
      <w:r>
        <w:rPr>
          <w:rFonts w:hint="default" w:ascii="Times New Roman" w:hAnsi="Times New Roman" w:eastAsia="宋体" w:cs="Times New Roman"/>
          <w:bCs/>
          <w:i/>
          <w:iCs/>
          <w:lang w:val="en-US" w:eastAsia="zh-CN"/>
        </w:rPr>
        <w:t xml:space="preserve">Proposal 4: </w:t>
      </w:r>
      <w:r>
        <w:rPr>
          <w:rFonts w:hint="eastAsia"/>
          <w:lang w:val="en-US" w:eastAsia="zh-CN"/>
        </w:rPr>
        <w:t>Study and specify LCP enhancement to improve the delay critical data transmission performance [RAN2].</w:t>
      </w:r>
      <w:r>
        <w:fldChar w:fldCharType="end"/>
      </w:r>
    </w:p>
    <w:p>
      <w:pPr>
        <w:pStyle w:val="19"/>
        <w:tabs>
          <w:tab w:val="right" w:leader="dot" w:pos="9660"/>
          <w:tab w:val="clear" w:pos="0"/>
        </w:tabs>
      </w:pPr>
      <w:r>
        <w:fldChar w:fldCharType="begin"/>
      </w:r>
      <w:r>
        <w:instrText xml:space="preserve"> HYPERLINK \l _Toc11113 </w:instrText>
      </w:r>
      <w:r>
        <w:fldChar w:fldCharType="separate"/>
      </w:r>
      <w:r>
        <w:rPr>
          <w:rFonts w:hint="default" w:ascii="Times New Roman" w:hAnsi="Times New Roman" w:eastAsia="宋体" w:cs="Times New Roman"/>
          <w:bCs/>
          <w:i/>
          <w:iCs/>
          <w:lang w:val="en-US" w:eastAsia="zh-CN"/>
        </w:rPr>
        <w:t xml:space="preserve">Proposal 5: </w:t>
      </w:r>
      <w:r>
        <w:rPr>
          <w:rFonts w:hint="eastAsia"/>
          <w:lang w:val="en-US" w:eastAsia="zh-CN"/>
        </w:rPr>
        <w:t>Study and specify network</w:t>
      </w:r>
      <w:r>
        <w:rPr>
          <w:lang w:val="en-US" w:eastAsia="zh-CN"/>
        </w:rPr>
        <w:t>-</w:t>
      </w:r>
      <w:r>
        <w:rPr>
          <w:rFonts w:hint="eastAsia"/>
          <w:lang w:val="en-US" w:eastAsia="zh-CN"/>
        </w:rPr>
        <w:t>controlled data rate adaptation [RAN3, RAN2].</w:t>
      </w:r>
      <w:r>
        <w:fldChar w:fldCharType="end"/>
      </w:r>
    </w:p>
    <w:p>
      <w:pPr>
        <w:pStyle w:val="19"/>
        <w:tabs>
          <w:tab w:val="right" w:leader="dot" w:pos="9660"/>
          <w:tab w:val="clear" w:pos="0"/>
        </w:tabs>
      </w:pPr>
      <w:r>
        <w:fldChar w:fldCharType="begin"/>
      </w:r>
      <w:r>
        <w:instrText xml:space="preserve"> HYPERLINK \l _Toc23499 </w:instrText>
      </w:r>
      <w:r>
        <w:fldChar w:fldCharType="separate"/>
      </w:r>
      <w:r>
        <w:rPr>
          <w:rFonts w:hint="default" w:ascii="Times New Roman" w:hAnsi="Times New Roman" w:eastAsia="宋体" w:cs="Times New Roman"/>
          <w:bCs/>
          <w:i/>
          <w:iCs/>
          <w:lang w:val="en-US" w:eastAsia="zh-CN"/>
        </w:rPr>
        <w:t xml:space="preserve">Proposal 6: </w:t>
      </w:r>
      <w:r>
        <w:rPr>
          <w:rFonts w:hint="eastAsia"/>
          <w:lang w:val="en-US" w:eastAsia="zh-CN"/>
        </w:rPr>
        <w:t>Specify adjustment of the C-DRX ON duration and PDCCH monitoring occasion based on the traffic pattern</w:t>
      </w:r>
      <w:r>
        <w:rPr>
          <w:lang w:val="en-US" w:eastAsia="zh-CN"/>
        </w:rPr>
        <w:t xml:space="preserve"> </w:t>
      </w:r>
      <w:r>
        <w:rPr>
          <w:rFonts w:hint="eastAsia"/>
          <w:lang w:val="en-US" w:eastAsia="zh-CN"/>
        </w:rPr>
        <w:t>(e.g. the jitter of burst arrive time) [RAN2].</w:t>
      </w:r>
      <w:r>
        <w:fldChar w:fldCharType="end"/>
      </w:r>
    </w:p>
    <w:p>
      <w:pPr>
        <w:spacing w:before="120" w:after="120"/>
        <w:rPr>
          <w:szCs w:val="22"/>
        </w:rPr>
      </w:pPr>
      <w:r>
        <w:fldChar w:fldCharType="end"/>
      </w:r>
    </w:p>
    <w:p>
      <w:pPr>
        <w:pStyle w:val="2"/>
        <w:spacing w:before="120" w:after="120"/>
        <w:ind w:left="0"/>
        <w:rPr>
          <w:rFonts w:eastAsia="宋体"/>
        </w:rPr>
      </w:pPr>
      <w:r>
        <w:rPr>
          <w:rFonts w:hint="eastAsia" w:eastAsia="宋体"/>
        </w:rPr>
        <w:t>Reference</w:t>
      </w:r>
      <w:r>
        <w:rPr>
          <w:rFonts w:eastAsia="宋体"/>
        </w:rPr>
        <w:t>s</w:t>
      </w:r>
    </w:p>
    <w:p>
      <w:pPr>
        <w:pStyle w:val="37"/>
        <w:spacing w:before="120" w:after="120"/>
        <w:ind w:left="363" w:hanging="363"/>
      </w:pPr>
      <w:r>
        <w:rPr>
          <w:rFonts w:hint="eastAsia"/>
        </w:rPr>
        <w:t xml:space="preserve">TR38.838, V17.0.0, </w:t>
      </w:r>
      <w:r>
        <w:t>“</w:t>
      </w:r>
      <w:r>
        <w:rPr>
          <w:rFonts w:hint="eastAsia"/>
        </w:rPr>
        <w:t>Study on XR (Extended Reality) Evaluations for NR</w:t>
      </w:r>
      <w:r>
        <w:t>”</w:t>
      </w:r>
      <w:r>
        <w:rPr>
          <w:rFonts w:hint="eastAsia"/>
        </w:rPr>
        <w:t>. (Release 17)</w:t>
      </w:r>
    </w:p>
    <w:p>
      <w:pPr>
        <w:pStyle w:val="37"/>
        <w:spacing w:before="120" w:after="120"/>
        <w:ind w:left="363" w:hanging="363"/>
      </w:pPr>
      <w:r>
        <w:rPr>
          <w:rFonts w:hint="eastAsia"/>
        </w:rPr>
        <w:t xml:space="preserve">TR 38.835 V18.0.1, </w:t>
      </w:r>
      <w:r>
        <w:t>“Study on XR enhancements for NR”</w:t>
      </w:r>
      <w:r>
        <w:rPr>
          <w:rFonts w:hint="eastAsia"/>
        </w:rPr>
        <w:t>. (Release 18)</w:t>
      </w:r>
    </w:p>
    <w:p>
      <w:pPr>
        <w:pStyle w:val="37"/>
        <w:spacing w:before="120" w:after="120"/>
        <w:ind w:left="363" w:hanging="363"/>
        <w:rPr>
          <w:lang w:val="en-GB"/>
        </w:rPr>
      </w:pPr>
      <w:r>
        <w:rPr>
          <w:rFonts w:hint="eastAsia"/>
          <w:lang w:val="en-GB"/>
        </w:rPr>
        <w:t>TR22.856, V1.0.0, “Feasibility Study on Localized Mobile Metaverse Services”. (Release 19)</w:t>
      </w:r>
    </w:p>
    <w:p>
      <w:pPr>
        <w:pStyle w:val="37"/>
        <w:spacing w:before="120" w:after="120"/>
        <w:ind w:left="363" w:hanging="363"/>
      </w:pPr>
      <w:r>
        <w:rPr>
          <w:rFonts w:hint="eastAsia"/>
          <w:lang w:val="en-GB"/>
        </w:rPr>
        <w:t>TR22.847, V18.2.0, “Study on supporting tactile and multi-modality communication services”; Stage 1 (Release 18)</w:t>
      </w:r>
    </w:p>
    <w:p>
      <w:pPr>
        <w:pStyle w:val="37"/>
        <w:spacing w:before="120" w:after="120"/>
        <w:ind w:left="363" w:hanging="363"/>
      </w:pPr>
      <w:r>
        <w:rPr>
          <w:rFonts w:hint="eastAsia"/>
        </w:rPr>
        <w:t xml:space="preserve">RP-232745, </w:t>
      </w:r>
      <w:r>
        <w:t>“Summary for RAN Rel-19 Package: RAN1/2/3-led”</w:t>
      </w:r>
      <w:r>
        <w:rPr>
          <w:rFonts w:hint="eastAsia"/>
        </w:rPr>
        <w:t>, 3GPP RAN#102, December 11th-15th, 2023.</w:t>
      </w:r>
    </w:p>
    <w:p>
      <w:pPr>
        <w:pStyle w:val="37"/>
        <w:spacing w:before="120" w:after="120"/>
        <w:ind w:left="363" w:hanging="363"/>
      </w:pPr>
      <w:r>
        <w:rPr>
          <w:rFonts w:hint="eastAsia"/>
        </w:rPr>
        <w:t xml:space="preserve">TS22.261, V19.2.0, </w:t>
      </w:r>
      <w:r>
        <w:t>“Service requirements for the 5G system”</w:t>
      </w:r>
      <w:r>
        <w:rPr>
          <w:rFonts w:hint="eastAsia"/>
        </w:rPr>
        <w:t>. (Release 19)</w:t>
      </w:r>
    </w:p>
    <w:p>
      <w:pPr>
        <w:pStyle w:val="37"/>
        <w:spacing w:before="120" w:after="120"/>
        <w:ind w:left="363" w:hanging="363"/>
      </w:pPr>
      <w:r>
        <w:t>RP-232619</w:t>
      </w:r>
      <w:r>
        <w:rPr>
          <w:rFonts w:hint="eastAsia"/>
        </w:rPr>
        <w:t xml:space="preserve">, </w:t>
      </w:r>
      <w:r>
        <w:t>“Moderator's summary for REL-19 RAN2 topic Enhancements for XR”</w:t>
      </w:r>
      <w:r>
        <w:rPr>
          <w:rFonts w:hint="eastAsia"/>
        </w:rPr>
        <w:t xml:space="preserve">, </w:t>
      </w:r>
      <w:r>
        <w:t>September 11-15, 2023, Bangalore, Indi</w:t>
      </w:r>
      <w:r>
        <w:rPr>
          <w:rFonts w:hint="eastAsia"/>
        </w:rPr>
        <w:t>a.</w:t>
      </w:r>
    </w:p>
    <w:p>
      <w:pPr>
        <w:pStyle w:val="2"/>
        <w:spacing w:before="120" w:after="120"/>
        <w:ind w:left="0"/>
        <w:rPr>
          <w:rFonts w:eastAsia="宋体"/>
        </w:rPr>
      </w:pPr>
      <w:r>
        <w:rPr>
          <w:rFonts w:hint="eastAsia" w:eastAsia="宋体"/>
        </w:rPr>
        <w:t>Appendix</w:t>
      </w:r>
    </w:p>
    <w:p>
      <w:pPr>
        <w:pStyle w:val="37"/>
        <w:numPr>
          <w:ilvl w:val="0"/>
          <w:numId w:val="0"/>
        </w:numPr>
        <w:spacing w:before="120" w:after="120"/>
        <w:rPr>
          <w:b/>
          <w:bCs/>
          <w:u w:val="single"/>
        </w:rPr>
      </w:pPr>
      <w:r>
        <w:rPr>
          <w:b/>
          <w:bCs/>
          <w:u w:val="single"/>
        </w:rPr>
        <w:t>Appendix A1:  Haptic stream &amp; Video stream modeling</w:t>
      </w:r>
    </w:p>
    <w:p>
      <w:pPr>
        <w:pStyle w:val="37"/>
        <w:numPr>
          <w:ilvl w:val="0"/>
          <w:numId w:val="0"/>
        </w:numPr>
        <w:spacing w:before="120" w:after="120"/>
        <w:jc w:val="center"/>
      </w:pPr>
      <w:r>
        <w:rPr>
          <w:rFonts w:hint="eastAsia"/>
        </w:rPr>
        <w:t>Table A1-1 Haptic stream inter-arrival time modeling (One sensor)</w:t>
      </w:r>
    </w:p>
    <w:tbl>
      <w:tblPr>
        <w:tblStyle w:val="23"/>
        <w:tblW w:w="5060" w:type="dxa"/>
        <w:jc w:val="center"/>
        <w:tblCellSpacing w:w="0" w:type="dxa"/>
        <w:tblLayout w:type="autofit"/>
        <w:tblCellMar>
          <w:top w:w="0" w:type="dxa"/>
          <w:left w:w="0" w:type="dxa"/>
          <w:bottom w:w="0" w:type="dxa"/>
          <w:right w:w="0" w:type="dxa"/>
        </w:tblCellMar>
      </w:tblPr>
      <w:tblGrid>
        <w:gridCol w:w="2880"/>
        <w:gridCol w:w="2180"/>
      </w:tblGrid>
      <w:tr>
        <w:tblPrEx>
          <w:tblCellMar>
            <w:top w:w="0" w:type="dxa"/>
            <w:left w:w="0" w:type="dxa"/>
            <w:bottom w:w="0" w:type="dxa"/>
            <w:right w:w="0" w:type="dxa"/>
          </w:tblCellMar>
        </w:tblPrEx>
        <w:trPr>
          <w:trHeight w:val="280" w:hRule="atLeast"/>
          <w:tblCellSpacing w:w="0" w:type="dxa"/>
          <w:jc w:val="center"/>
        </w:trPr>
        <w:tc>
          <w:tcPr>
            <w:tcW w:w="5060" w:type="dxa"/>
            <w:gridSpan w:val="2"/>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i/>
                <w:iCs/>
                <w:color w:val="000000"/>
                <w:szCs w:val="24"/>
              </w:rPr>
              <w:t>Haptic: Pareto distribution for arrival interval</w:t>
            </w:r>
          </w:p>
        </w:tc>
      </w:tr>
      <w:tr>
        <w:tblPrEx>
          <w:tblCellMar>
            <w:top w:w="0" w:type="dxa"/>
            <w:left w:w="0" w:type="dxa"/>
            <w:bottom w:w="0" w:type="dxa"/>
            <w:right w:w="0" w:type="dxa"/>
          </w:tblCellMar>
        </w:tblPrEx>
        <w:trPr>
          <w:trHeight w:val="280" w:hRule="atLeast"/>
          <w:tblCellSpacing w:w="0" w:type="dxa"/>
          <w:jc w:val="center"/>
        </w:trPr>
        <w:tc>
          <w:tcPr>
            <w:tcW w:w="288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b/>
                <w:bCs/>
                <w:color w:val="000000"/>
                <w:szCs w:val="24"/>
              </w:rPr>
              <w:t>Parameter</w:t>
            </w:r>
          </w:p>
        </w:tc>
        <w:tc>
          <w:tcPr>
            <w:tcW w:w="218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b/>
                <w:bCs/>
                <w:color w:val="000000"/>
                <w:szCs w:val="24"/>
              </w:rPr>
              <w:t>Value</w:t>
            </w:r>
          </w:p>
        </w:tc>
      </w:tr>
      <w:tr>
        <w:tblPrEx>
          <w:tblCellMar>
            <w:top w:w="0" w:type="dxa"/>
            <w:left w:w="0" w:type="dxa"/>
            <w:bottom w:w="0" w:type="dxa"/>
            <w:right w:w="0" w:type="dxa"/>
          </w:tblCellMar>
        </w:tblPrEx>
        <w:trPr>
          <w:trHeight w:val="280" w:hRule="atLeast"/>
          <w:tblCellSpacing w:w="0" w:type="dxa"/>
          <w:jc w:val="center"/>
        </w:trPr>
        <w:tc>
          <w:tcPr>
            <w:tcW w:w="288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color w:val="000000"/>
                <w:szCs w:val="24"/>
              </w:rPr>
              <w:t>Alpha</w:t>
            </w:r>
          </w:p>
        </w:tc>
        <w:tc>
          <w:tcPr>
            <w:tcW w:w="218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color w:val="000000"/>
                <w:szCs w:val="24"/>
              </w:rPr>
              <w:t>1.2</w:t>
            </w:r>
          </w:p>
        </w:tc>
      </w:tr>
      <w:tr>
        <w:tblPrEx>
          <w:tblCellMar>
            <w:top w:w="0" w:type="dxa"/>
            <w:left w:w="0" w:type="dxa"/>
            <w:bottom w:w="0" w:type="dxa"/>
            <w:right w:w="0" w:type="dxa"/>
          </w:tblCellMar>
        </w:tblPrEx>
        <w:trPr>
          <w:trHeight w:val="280" w:hRule="atLeast"/>
          <w:tblCellSpacing w:w="0" w:type="dxa"/>
          <w:jc w:val="center"/>
        </w:trPr>
        <w:tc>
          <w:tcPr>
            <w:tcW w:w="288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color w:val="000000"/>
                <w:szCs w:val="24"/>
              </w:rPr>
              <w:t>Minimum arrival interval</w:t>
            </w:r>
          </w:p>
        </w:tc>
        <w:tc>
          <w:tcPr>
            <w:tcW w:w="218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color w:val="000000"/>
                <w:szCs w:val="24"/>
              </w:rPr>
              <w:t>1 (ms)</w:t>
            </w:r>
          </w:p>
        </w:tc>
      </w:tr>
      <w:tr>
        <w:tblPrEx>
          <w:tblCellMar>
            <w:top w:w="0" w:type="dxa"/>
            <w:left w:w="0" w:type="dxa"/>
            <w:bottom w:w="0" w:type="dxa"/>
            <w:right w:w="0" w:type="dxa"/>
          </w:tblCellMar>
        </w:tblPrEx>
        <w:trPr>
          <w:trHeight w:val="280" w:hRule="atLeast"/>
          <w:tblCellSpacing w:w="0" w:type="dxa"/>
          <w:jc w:val="center"/>
        </w:trPr>
        <w:tc>
          <w:tcPr>
            <w:tcW w:w="288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color w:val="000000"/>
                <w:szCs w:val="24"/>
              </w:rPr>
              <w:t>Maximum arrival interval</w:t>
            </w:r>
          </w:p>
        </w:tc>
        <w:tc>
          <w:tcPr>
            <w:tcW w:w="218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color w:val="000000"/>
                <w:szCs w:val="24"/>
              </w:rPr>
              <w:t>6 (ms)</w:t>
            </w:r>
          </w:p>
        </w:tc>
      </w:tr>
    </w:tbl>
    <w:p>
      <w:pPr>
        <w:pStyle w:val="37"/>
        <w:numPr>
          <w:ilvl w:val="0"/>
          <w:numId w:val="0"/>
        </w:numPr>
        <w:spacing w:before="120" w:after="120"/>
      </w:pPr>
    </w:p>
    <w:p>
      <w:pPr>
        <w:pStyle w:val="37"/>
        <w:numPr>
          <w:ilvl w:val="0"/>
          <w:numId w:val="0"/>
        </w:numPr>
        <w:spacing w:before="120" w:after="120"/>
        <w:jc w:val="center"/>
      </w:pPr>
      <w:r>
        <w:rPr>
          <w:rFonts w:hint="eastAsia"/>
        </w:rPr>
        <w:t>Table A1-2 Video stream inter-arrival time modeling</w:t>
      </w:r>
    </w:p>
    <w:tbl>
      <w:tblPr>
        <w:tblStyle w:val="23"/>
        <w:tblW w:w="5060" w:type="dxa"/>
        <w:jc w:val="center"/>
        <w:tblCellSpacing w:w="0" w:type="dxa"/>
        <w:tblLayout w:type="autofit"/>
        <w:tblCellMar>
          <w:top w:w="0" w:type="dxa"/>
          <w:left w:w="0" w:type="dxa"/>
          <w:bottom w:w="0" w:type="dxa"/>
          <w:right w:w="0" w:type="dxa"/>
        </w:tblCellMar>
      </w:tblPr>
      <w:tblGrid>
        <w:gridCol w:w="2880"/>
        <w:gridCol w:w="2180"/>
      </w:tblGrid>
      <w:tr>
        <w:tblPrEx>
          <w:tblCellMar>
            <w:top w:w="0" w:type="dxa"/>
            <w:left w:w="0" w:type="dxa"/>
            <w:bottom w:w="0" w:type="dxa"/>
            <w:right w:w="0" w:type="dxa"/>
          </w:tblCellMar>
        </w:tblPrEx>
        <w:trPr>
          <w:trHeight w:val="280" w:hRule="atLeast"/>
          <w:tblCellSpacing w:w="0" w:type="dxa"/>
          <w:jc w:val="center"/>
        </w:trPr>
        <w:tc>
          <w:tcPr>
            <w:tcW w:w="5060" w:type="dxa"/>
            <w:gridSpan w:val="2"/>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i/>
                <w:iCs/>
                <w:color w:val="000000"/>
                <w:szCs w:val="24"/>
              </w:rPr>
              <w:t>Video: Quasi-periodic arrival</w:t>
            </w:r>
          </w:p>
        </w:tc>
      </w:tr>
      <w:tr>
        <w:tblPrEx>
          <w:tblCellMar>
            <w:top w:w="0" w:type="dxa"/>
            <w:left w:w="0" w:type="dxa"/>
            <w:bottom w:w="0" w:type="dxa"/>
            <w:right w:w="0" w:type="dxa"/>
          </w:tblCellMar>
        </w:tblPrEx>
        <w:trPr>
          <w:trHeight w:val="280" w:hRule="atLeast"/>
          <w:tblCellSpacing w:w="0" w:type="dxa"/>
          <w:jc w:val="center"/>
        </w:trPr>
        <w:tc>
          <w:tcPr>
            <w:tcW w:w="288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rPr>
                <w:b/>
                <w:bCs/>
                <w:color w:val="000000"/>
                <w:szCs w:val="24"/>
              </w:rPr>
            </w:pPr>
            <w:r>
              <w:rPr>
                <w:rFonts w:hint="eastAsia"/>
                <w:b/>
                <w:bCs/>
                <w:color w:val="000000"/>
                <w:szCs w:val="24"/>
              </w:rPr>
              <w:t>Parameter</w:t>
            </w:r>
          </w:p>
        </w:tc>
        <w:tc>
          <w:tcPr>
            <w:tcW w:w="218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rPr>
                <w:b/>
                <w:bCs/>
                <w:color w:val="000000"/>
                <w:szCs w:val="24"/>
              </w:rPr>
            </w:pPr>
            <w:r>
              <w:rPr>
                <w:rFonts w:hint="eastAsia"/>
                <w:b/>
                <w:bCs/>
                <w:color w:val="000000"/>
                <w:szCs w:val="24"/>
              </w:rPr>
              <w:t>Value</w:t>
            </w:r>
          </w:p>
        </w:tc>
      </w:tr>
      <w:tr>
        <w:tblPrEx>
          <w:tblCellMar>
            <w:top w:w="0" w:type="dxa"/>
            <w:left w:w="0" w:type="dxa"/>
            <w:bottom w:w="0" w:type="dxa"/>
            <w:right w:w="0" w:type="dxa"/>
          </w:tblCellMar>
        </w:tblPrEx>
        <w:trPr>
          <w:trHeight w:val="280" w:hRule="atLeast"/>
          <w:tblCellSpacing w:w="0" w:type="dxa"/>
          <w:jc w:val="center"/>
        </w:trPr>
        <w:tc>
          <w:tcPr>
            <w:tcW w:w="288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color w:val="000000"/>
                <w:szCs w:val="24"/>
              </w:rPr>
              <w:t>Frame per second</w:t>
            </w:r>
          </w:p>
        </w:tc>
        <w:tc>
          <w:tcPr>
            <w:tcW w:w="218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color w:val="000000"/>
                <w:szCs w:val="24"/>
              </w:rPr>
              <w:t>60FPS</w:t>
            </w:r>
          </w:p>
        </w:tc>
      </w:tr>
      <w:tr>
        <w:tblPrEx>
          <w:tblCellMar>
            <w:top w:w="0" w:type="dxa"/>
            <w:left w:w="0" w:type="dxa"/>
            <w:bottom w:w="0" w:type="dxa"/>
            <w:right w:w="0" w:type="dxa"/>
          </w:tblCellMar>
        </w:tblPrEx>
        <w:trPr>
          <w:trHeight w:val="280" w:hRule="atLeast"/>
          <w:tblCellSpacing w:w="0" w:type="dxa"/>
          <w:jc w:val="center"/>
        </w:trPr>
        <w:tc>
          <w:tcPr>
            <w:tcW w:w="288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color w:val="000000"/>
                <w:szCs w:val="24"/>
              </w:rPr>
              <w:t>Mean jitter value</w:t>
            </w:r>
          </w:p>
        </w:tc>
        <w:tc>
          <w:tcPr>
            <w:tcW w:w="218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color w:val="000000"/>
                <w:szCs w:val="24"/>
              </w:rPr>
              <w:t>0ms</w:t>
            </w:r>
          </w:p>
        </w:tc>
      </w:tr>
      <w:tr>
        <w:tblPrEx>
          <w:tblCellMar>
            <w:top w:w="0" w:type="dxa"/>
            <w:left w:w="0" w:type="dxa"/>
            <w:bottom w:w="0" w:type="dxa"/>
            <w:right w:w="0" w:type="dxa"/>
          </w:tblCellMar>
        </w:tblPrEx>
        <w:trPr>
          <w:trHeight w:val="280" w:hRule="atLeast"/>
          <w:tblCellSpacing w:w="0" w:type="dxa"/>
          <w:jc w:val="center"/>
        </w:trPr>
        <w:tc>
          <w:tcPr>
            <w:tcW w:w="288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color w:val="000000"/>
                <w:szCs w:val="24"/>
              </w:rPr>
              <w:t>STD</w:t>
            </w:r>
          </w:p>
        </w:tc>
        <w:tc>
          <w:tcPr>
            <w:tcW w:w="218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color w:val="000000"/>
                <w:szCs w:val="24"/>
              </w:rPr>
              <w:t>2ms</w:t>
            </w:r>
          </w:p>
        </w:tc>
      </w:tr>
      <w:tr>
        <w:tblPrEx>
          <w:tblCellMar>
            <w:top w:w="0" w:type="dxa"/>
            <w:left w:w="0" w:type="dxa"/>
            <w:bottom w:w="0" w:type="dxa"/>
            <w:right w:w="0" w:type="dxa"/>
          </w:tblCellMar>
        </w:tblPrEx>
        <w:trPr>
          <w:trHeight w:val="280" w:hRule="atLeast"/>
          <w:tblCellSpacing w:w="0" w:type="dxa"/>
          <w:jc w:val="center"/>
        </w:trPr>
        <w:tc>
          <w:tcPr>
            <w:tcW w:w="288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color w:val="000000"/>
                <w:szCs w:val="24"/>
              </w:rPr>
              <w:t>Minimum jitter value</w:t>
            </w:r>
          </w:p>
        </w:tc>
        <w:tc>
          <w:tcPr>
            <w:tcW w:w="218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color w:val="000000"/>
                <w:szCs w:val="24"/>
              </w:rPr>
              <w:t>-4ms</w:t>
            </w:r>
          </w:p>
        </w:tc>
      </w:tr>
      <w:tr>
        <w:tblPrEx>
          <w:tblCellMar>
            <w:top w:w="0" w:type="dxa"/>
            <w:left w:w="0" w:type="dxa"/>
            <w:bottom w:w="0" w:type="dxa"/>
            <w:right w:w="0" w:type="dxa"/>
          </w:tblCellMar>
        </w:tblPrEx>
        <w:trPr>
          <w:trHeight w:val="280" w:hRule="atLeast"/>
          <w:tblCellSpacing w:w="0" w:type="dxa"/>
          <w:jc w:val="center"/>
        </w:trPr>
        <w:tc>
          <w:tcPr>
            <w:tcW w:w="288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color w:val="000000"/>
                <w:szCs w:val="24"/>
              </w:rPr>
              <w:t>Maximum jitter value</w:t>
            </w:r>
          </w:p>
        </w:tc>
        <w:tc>
          <w:tcPr>
            <w:tcW w:w="218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color w:val="000000"/>
                <w:szCs w:val="24"/>
              </w:rPr>
              <w:t>4ms</w:t>
            </w:r>
          </w:p>
        </w:tc>
      </w:tr>
    </w:tbl>
    <w:p>
      <w:pPr>
        <w:pStyle w:val="37"/>
        <w:numPr>
          <w:ilvl w:val="0"/>
          <w:numId w:val="0"/>
        </w:numPr>
        <w:spacing w:before="120" w:after="120"/>
        <w:jc w:val="center"/>
      </w:pPr>
      <w:r>
        <w:rPr>
          <w:rFonts w:hint="eastAsia"/>
        </w:rPr>
        <w:t>Table A1-3 Haptic stream packet size, PER and PDB (One sensor)</w:t>
      </w:r>
    </w:p>
    <w:tbl>
      <w:tblPr>
        <w:tblStyle w:val="23"/>
        <w:tblW w:w="5100" w:type="dxa"/>
        <w:jc w:val="center"/>
        <w:tblCellSpacing w:w="0" w:type="dxa"/>
        <w:tblLayout w:type="autofit"/>
        <w:tblCellMar>
          <w:top w:w="0" w:type="dxa"/>
          <w:left w:w="0" w:type="dxa"/>
          <w:bottom w:w="0" w:type="dxa"/>
          <w:right w:w="0" w:type="dxa"/>
        </w:tblCellMar>
      </w:tblPr>
      <w:tblGrid>
        <w:gridCol w:w="3060"/>
        <w:gridCol w:w="2040"/>
      </w:tblGrid>
      <w:tr>
        <w:tblPrEx>
          <w:tblCellMar>
            <w:top w:w="0" w:type="dxa"/>
            <w:left w:w="0" w:type="dxa"/>
            <w:bottom w:w="0" w:type="dxa"/>
            <w:right w:w="0" w:type="dxa"/>
          </w:tblCellMar>
        </w:tblPrEx>
        <w:trPr>
          <w:trHeight w:val="280" w:hRule="atLeast"/>
          <w:tblCellSpacing w:w="0" w:type="dxa"/>
          <w:jc w:val="center"/>
        </w:trPr>
        <w:tc>
          <w:tcPr>
            <w:tcW w:w="5100" w:type="dxa"/>
            <w:gridSpan w:val="2"/>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i/>
                <w:iCs/>
                <w:color w:val="000000"/>
                <w:szCs w:val="24"/>
              </w:rPr>
              <w:t>Haptic packet size</w:t>
            </w:r>
          </w:p>
        </w:tc>
      </w:tr>
      <w:tr>
        <w:tblPrEx>
          <w:tblCellMar>
            <w:top w:w="0" w:type="dxa"/>
            <w:left w:w="0" w:type="dxa"/>
            <w:bottom w:w="0" w:type="dxa"/>
            <w:right w:w="0" w:type="dxa"/>
          </w:tblCellMar>
        </w:tblPrEx>
        <w:trPr>
          <w:tblCellSpacing w:w="0" w:type="dxa"/>
          <w:jc w:val="center"/>
        </w:trPr>
        <w:tc>
          <w:tcPr>
            <w:tcW w:w="306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b/>
                <w:bCs/>
                <w:color w:val="000000"/>
                <w:szCs w:val="24"/>
              </w:rPr>
              <w:t>Parameter</w:t>
            </w:r>
          </w:p>
        </w:tc>
        <w:tc>
          <w:tcPr>
            <w:tcW w:w="202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b/>
                <w:bCs/>
                <w:color w:val="000000"/>
                <w:szCs w:val="24"/>
              </w:rPr>
              <w:t>Value</w:t>
            </w:r>
          </w:p>
        </w:tc>
      </w:tr>
      <w:tr>
        <w:tblPrEx>
          <w:tblCellMar>
            <w:top w:w="0" w:type="dxa"/>
            <w:left w:w="0" w:type="dxa"/>
            <w:bottom w:w="0" w:type="dxa"/>
            <w:right w:w="0" w:type="dxa"/>
          </w:tblCellMar>
        </w:tblPrEx>
        <w:trPr>
          <w:tblCellSpacing w:w="0" w:type="dxa"/>
          <w:jc w:val="center"/>
        </w:trPr>
        <w:tc>
          <w:tcPr>
            <w:tcW w:w="306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color w:val="000000"/>
                <w:szCs w:val="24"/>
              </w:rPr>
              <w:t>Fixed packet size</w:t>
            </w:r>
          </w:p>
        </w:tc>
        <w:tc>
          <w:tcPr>
            <w:tcW w:w="202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color w:val="000000"/>
                <w:szCs w:val="24"/>
              </w:rPr>
              <w:t>48 Byte</w:t>
            </w:r>
          </w:p>
        </w:tc>
      </w:tr>
      <w:tr>
        <w:tblPrEx>
          <w:tblCellMar>
            <w:top w:w="0" w:type="dxa"/>
            <w:left w:w="0" w:type="dxa"/>
            <w:bottom w:w="0" w:type="dxa"/>
            <w:right w:w="0" w:type="dxa"/>
          </w:tblCellMar>
        </w:tblPrEx>
        <w:trPr>
          <w:tblCellSpacing w:w="0" w:type="dxa"/>
          <w:jc w:val="center"/>
        </w:trPr>
        <w:tc>
          <w:tcPr>
            <w:tcW w:w="306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color w:val="000000"/>
                <w:szCs w:val="24"/>
              </w:rPr>
              <w:t>Packet Delay budget</w:t>
            </w:r>
          </w:p>
        </w:tc>
        <w:tc>
          <w:tcPr>
            <w:tcW w:w="202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color w:val="000000"/>
                <w:szCs w:val="24"/>
              </w:rPr>
              <w:t>5 ms</w:t>
            </w:r>
          </w:p>
        </w:tc>
      </w:tr>
      <w:tr>
        <w:tblPrEx>
          <w:tblCellMar>
            <w:top w:w="0" w:type="dxa"/>
            <w:left w:w="0" w:type="dxa"/>
            <w:bottom w:w="0" w:type="dxa"/>
            <w:right w:w="0" w:type="dxa"/>
          </w:tblCellMar>
        </w:tblPrEx>
        <w:trPr>
          <w:tblCellSpacing w:w="0" w:type="dxa"/>
          <w:jc w:val="center"/>
        </w:trPr>
        <w:tc>
          <w:tcPr>
            <w:tcW w:w="306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color w:val="000000"/>
                <w:szCs w:val="24"/>
              </w:rPr>
              <w:t>Packet Error Rate</w:t>
            </w:r>
          </w:p>
        </w:tc>
        <w:tc>
          <w:tcPr>
            <w:tcW w:w="202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rPr>
                <w:rFonts w:hint="eastAsia" w:eastAsia="宋体"/>
                <w:lang w:val="en-US" w:eastAsia="zh-CN"/>
              </w:rPr>
            </w:pPr>
            <w:r>
              <w:rPr>
                <w:color w:val="000000"/>
                <w:szCs w:val="24"/>
              </w:rPr>
              <w:t>1e-</w:t>
            </w:r>
            <w:r>
              <w:rPr>
                <w:rFonts w:hint="eastAsia"/>
                <w:color w:val="000000"/>
                <w:szCs w:val="24"/>
                <w:lang w:val="en-US" w:eastAsia="zh-CN"/>
              </w:rPr>
              <w:t>4</w:t>
            </w:r>
          </w:p>
        </w:tc>
      </w:tr>
    </w:tbl>
    <w:p>
      <w:pPr>
        <w:pStyle w:val="37"/>
        <w:numPr>
          <w:ilvl w:val="0"/>
          <w:numId w:val="0"/>
        </w:numPr>
        <w:spacing w:before="120" w:after="120"/>
      </w:pPr>
      <w:r>
        <w:rPr>
          <w:rFonts w:hint="eastAsia"/>
        </w:rPr>
        <w:tab/>
      </w:r>
    </w:p>
    <w:p>
      <w:pPr>
        <w:pStyle w:val="37"/>
        <w:numPr>
          <w:ilvl w:val="0"/>
          <w:numId w:val="0"/>
        </w:numPr>
        <w:spacing w:before="120" w:after="120"/>
        <w:jc w:val="center"/>
      </w:pPr>
      <w:r>
        <w:rPr>
          <w:rFonts w:hint="eastAsia"/>
        </w:rPr>
        <w:t>Table A1-4 Video stream packet size, PER and PDB</w:t>
      </w:r>
    </w:p>
    <w:tbl>
      <w:tblPr>
        <w:tblStyle w:val="23"/>
        <w:tblW w:w="5780" w:type="dxa"/>
        <w:jc w:val="center"/>
        <w:tblCellSpacing w:w="0" w:type="dxa"/>
        <w:tblLayout w:type="autofit"/>
        <w:tblCellMar>
          <w:top w:w="0" w:type="dxa"/>
          <w:left w:w="0" w:type="dxa"/>
          <w:bottom w:w="0" w:type="dxa"/>
          <w:right w:w="0" w:type="dxa"/>
        </w:tblCellMar>
      </w:tblPr>
      <w:tblGrid>
        <w:gridCol w:w="2760"/>
        <w:gridCol w:w="3020"/>
      </w:tblGrid>
      <w:tr>
        <w:tblPrEx>
          <w:tblCellMar>
            <w:top w:w="0" w:type="dxa"/>
            <w:left w:w="0" w:type="dxa"/>
            <w:bottom w:w="0" w:type="dxa"/>
            <w:right w:w="0" w:type="dxa"/>
          </w:tblCellMar>
        </w:tblPrEx>
        <w:trPr>
          <w:trHeight w:val="280" w:hRule="atLeast"/>
          <w:tblCellSpacing w:w="0" w:type="dxa"/>
          <w:jc w:val="center"/>
        </w:trPr>
        <w:tc>
          <w:tcPr>
            <w:tcW w:w="5780" w:type="dxa"/>
            <w:gridSpan w:val="2"/>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i/>
                <w:iCs/>
                <w:color w:val="000000"/>
                <w:szCs w:val="24"/>
              </w:rPr>
              <w:t>Truncated Gaussian distribution for video packet size</w:t>
            </w:r>
          </w:p>
        </w:tc>
      </w:tr>
      <w:tr>
        <w:tblPrEx>
          <w:tblCellMar>
            <w:top w:w="0" w:type="dxa"/>
            <w:left w:w="0" w:type="dxa"/>
            <w:bottom w:w="0" w:type="dxa"/>
            <w:right w:w="0" w:type="dxa"/>
          </w:tblCellMar>
        </w:tblPrEx>
        <w:trPr>
          <w:tblCellSpacing w:w="0" w:type="dxa"/>
          <w:jc w:val="center"/>
        </w:trPr>
        <w:tc>
          <w:tcPr>
            <w:tcW w:w="276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b/>
                <w:bCs/>
                <w:color w:val="000000"/>
                <w:szCs w:val="24"/>
              </w:rPr>
              <w:t>Parameter</w:t>
            </w:r>
          </w:p>
        </w:tc>
        <w:tc>
          <w:tcPr>
            <w:tcW w:w="300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b/>
                <w:bCs/>
                <w:color w:val="000000"/>
                <w:szCs w:val="24"/>
              </w:rPr>
              <w:t>Value</w:t>
            </w:r>
          </w:p>
        </w:tc>
      </w:tr>
      <w:tr>
        <w:tblPrEx>
          <w:tblCellMar>
            <w:top w:w="0" w:type="dxa"/>
            <w:left w:w="0" w:type="dxa"/>
            <w:bottom w:w="0" w:type="dxa"/>
            <w:right w:w="0" w:type="dxa"/>
          </w:tblCellMar>
        </w:tblPrEx>
        <w:trPr>
          <w:tblCellSpacing w:w="0" w:type="dxa"/>
          <w:jc w:val="center"/>
        </w:trPr>
        <w:tc>
          <w:tcPr>
            <w:tcW w:w="276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color w:val="000000"/>
                <w:szCs w:val="24"/>
              </w:rPr>
              <w:t>Minimum packet size</w:t>
            </w:r>
          </w:p>
        </w:tc>
        <w:tc>
          <w:tcPr>
            <w:tcW w:w="300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color w:val="000000"/>
                <w:szCs w:val="24"/>
              </w:rPr>
              <w:t>31250 Byte</w:t>
            </w:r>
          </w:p>
        </w:tc>
      </w:tr>
      <w:tr>
        <w:tblPrEx>
          <w:tblCellMar>
            <w:top w:w="0" w:type="dxa"/>
            <w:left w:w="0" w:type="dxa"/>
            <w:bottom w:w="0" w:type="dxa"/>
            <w:right w:w="0" w:type="dxa"/>
          </w:tblCellMar>
        </w:tblPrEx>
        <w:trPr>
          <w:tblCellSpacing w:w="0" w:type="dxa"/>
          <w:jc w:val="center"/>
        </w:trPr>
        <w:tc>
          <w:tcPr>
            <w:tcW w:w="276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color w:val="000000"/>
                <w:szCs w:val="24"/>
              </w:rPr>
              <w:t>Mean packet size</w:t>
            </w:r>
          </w:p>
        </w:tc>
        <w:tc>
          <w:tcPr>
            <w:tcW w:w="300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color w:val="000000"/>
                <w:szCs w:val="24"/>
              </w:rPr>
              <w:t>62500 Byte</w:t>
            </w:r>
          </w:p>
        </w:tc>
      </w:tr>
      <w:tr>
        <w:tblPrEx>
          <w:tblCellMar>
            <w:top w:w="0" w:type="dxa"/>
            <w:left w:w="0" w:type="dxa"/>
            <w:bottom w:w="0" w:type="dxa"/>
            <w:right w:w="0" w:type="dxa"/>
          </w:tblCellMar>
        </w:tblPrEx>
        <w:trPr>
          <w:tblCellSpacing w:w="0" w:type="dxa"/>
          <w:jc w:val="center"/>
        </w:trPr>
        <w:tc>
          <w:tcPr>
            <w:tcW w:w="276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color w:val="000000"/>
                <w:szCs w:val="24"/>
              </w:rPr>
              <w:t>Maximum packet size</w:t>
            </w:r>
          </w:p>
        </w:tc>
        <w:tc>
          <w:tcPr>
            <w:tcW w:w="300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color w:val="000000"/>
                <w:szCs w:val="24"/>
              </w:rPr>
              <w:t>93750 Byte</w:t>
            </w:r>
          </w:p>
        </w:tc>
      </w:tr>
      <w:tr>
        <w:tblPrEx>
          <w:tblCellMar>
            <w:top w:w="0" w:type="dxa"/>
            <w:left w:w="0" w:type="dxa"/>
            <w:bottom w:w="0" w:type="dxa"/>
            <w:right w:w="0" w:type="dxa"/>
          </w:tblCellMar>
        </w:tblPrEx>
        <w:trPr>
          <w:tblCellSpacing w:w="0" w:type="dxa"/>
          <w:jc w:val="center"/>
        </w:trPr>
        <w:tc>
          <w:tcPr>
            <w:tcW w:w="276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color w:val="000000"/>
                <w:szCs w:val="24"/>
              </w:rPr>
              <w:t>Packet Delay budget</w:t>
            </w:r>
          </w:p>
        </w:tc>
        <w:tc>
          <w:tcPr>
            <w:tcW w:w="300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color w:val="000000"/>
                <w:szCs w:val="24"/>
              </w:rPr>
              <w:t>10 ms</w:t>
            </w:r>
          </w:p>
        </w:tc>
      </w:tr>
      <w:tr>
        <w:tblPrEx>
          <w:tblCellMar>
            <w:top w:w="0" w:type="dxa"/>
            <w:left w:w="0" w:type="dxa"/>
            <w:bottom w:w="0" w:type="dxa"/>
            <w:right w:w="0" w:type="dxa"/>
          </w:tblCellMar>
        </w:tblPrEx>
        <w:trPr>
          <w:tblCellSpacing w:w="0" w:type="dxa"/>
          <w:jc w:val="center"/>
        </w:trPr>
        <w:tc>
          <w:tcPr>
            <w:tcW w:w="276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color w:val="000000"/>
                <w:szCs w:val="24"/>
              </w:rPr>
              <w:t>Packet Error Rate</w:t>
            </w:r>
          </w:p>
        </w:tc>
        <w:tc>
          <w:tcPr>
            <w:tcW w:w="300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jc w:val="center"/>
            </w:pPr>
            <w:r>
              <w:rPr>
                <w:color w:val="000000"/>
                <w:szCs w:val="24"/>
              </w:rPr>
              <w:t>1e-2</w:t>
            </w:r>
          </w:p>
        </w:tc>
      </w:tr>
    </w:tbl>
    <w:p>
      <w:pPr>
        <w:pStyle w:val="37"/>
        <w:numPr>
          <w:ilvl w:val="0"/>
          <w:numId w:val="0"/>
        </w:numPr>
        <w:spacing w:before="120" w:after="120"/>
      </w:pPr>
    </w:p>
    <w:p>
      <w:pPr>
        <w:pStyle w:val="37"/>
        <w:numPr>
          <w:ilvl w:val="0"/>
          <w:numId w:val="0"/>
        </w:numPr>
        <w:spacing w:before="120" w:after="120"/>
        <w:rPr>
          <w:b/>
          <w:bCs/>
          <w:u w:val="single"/>
        </w:rPr>
      </w:pPr>
      <w:r>
        <w:rPr>
          <w:rFonts w:hint="eastAsia"/>
          <w:b/>
          <w:bCs/>
          <w:u w:val="single"/>
        </w:rPr>
        <w:t>Appendix B: Simulation assumption</w:t>
      </w:r>
    </w:p>
    <w:p>
      <w:pPr>
        <w:pStyle w:val="37"/>
        <w:numPr>
          <w:ilvl w:val="0"/>
          <w:numId w:val="0"/>
        </w:numPr>
        <w:spacing w:before="120" w:after="120"/>
        <w:jc w:val="center"/>
      </w:pPr>
      <w:r>
        <w:rPr>
          <w:rFonts w:hint="eastAsia"/>
        </w:rPr>
        <w:t>Table B1: Simulation assumptions for downlink FR1</w:t>
      </w:r>
    </w:p>
    <w:tbl>
      <w:tblPr>
        <w:tblStyle w:val="23"/>
        <w:tblW w:w="9398" w:type="dxa"/>
        <w:jc w:val="center"/>
        <w:tblCellSpacing w:w="0" w:type="dxa"/>
        <w:tblLayout w:type="fixed"/>
        <w:tblCellMar>
          <w:top w:w="0" w:type="dxa"/>
          <w:left w:w="0" w:type="dxa"/>
          <w:bottom w:w="0" w:type="dxa"/>
          <w:right w:w="0" w:type="dxa"/>
        </w:tblCellMar>
      </w:tblPr>
      <w:tblGrid>
        <w:gridCol w:w="2091"/>
        <w:gridCol w:w="3750"/>
        <w:gridCol w:w="3557"/>
      </w:tblGrid>
      <w:tr>
        <w:tblPrEx>
          <w:tblCellMar>
            <w:top w:w="0" w:type="dxa"/>
            <w:left w:w="0" w:type="dxa"/>
            <w:bottom w:w="0" w:type="dxa"/>
            <w:right w:w="0" w:type="dxa"/>
          </w:tblCellMar>
        </w:tblPrEx>
        <w:trPr>
          <w:trHeight w:val="300" w:hRule="atLeast"/>
          <w:tblCellSpacing w:w="0" w:type="dxa"/>
          <w:jc w:val="center"/>
        </w:trPr>
        <w:tc>
          <w:tcPr>
            <w:tcW w:w="2091"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b/>
                <w:bCs/>
                <w:color w:val="000000"/>
                <w:szCs w:val="24"/>
              </w:rPr>
              <w:t>Parameter</w:t>
            </w:r>
          </w:p>
        </w:tc>
        <w:tc>
          <w:tcPr>
            <w:tcW w:w="7307" w:type="dxa"/>
            <w:gridSpan w:val="2"/>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b/>
                <w:bCs/>
                <w:color w:val="000000"/>
                <w:szCs w:val="24"/>
              </w:rPr>
              <w:t>Value</w:t>
            </w:r>
          </w:p>
        </w:tc>
      </w:tr>
      <w:tr>
        <w:tblPrEx>
          <w:tblCellMar>
            <w:top w:w="0" w:type="dxa"/>
            <w:left w:w="0" w:type="dxa"/>
            <w:bottom w:w="0" w:type="dxa"/>
            <w:right w:w="0" w:type="dxa"/>
          </w:tblCellMar>
        </w:tblPrEx>
        <w:trPr>
          <w:trHeight w:val="300" w:hRule="atLeast"/>
          <w:tblCellSpacing w:w="0" w:type="dxa"/>
          <w:jc w:val="center"/>
        </w:trPr>
        <w:tc>
          <w:tcPr>
            <w:tcW w:w="2091"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Scenario</w:t>
            </w:r>
          </w:p>
        </w:tc>
        <w:tc>
          <w:tcPr>
            <w:tcW w:w="375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Indoor Hotspot</w:t>
            </w:r>
          </w:p>
          <w:p>
            <w:pPr>
              <w:pStyle w:val="21"/>
              <w:spacing w:before="120" w:after="120"/>
            </w:pPr>
            <w:r>
              <w:rPr>
                <w:color w:val="000000"/>
                <w:szCs w:val="24"/>
              </w:rPr>
              <w:t>12 nodes in 50m x 120m</w:t>
            </w:r>
          </w:p>
        </w:tc>
        <w:tc>
          <w:tcPr>
            <w:tcW w:w="355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Dense Urban</w:t>
            </w:r>
          </w:p>
          <w:p>
            <w:pPr>
              <w:pStyle w:val="21"/>
              <w:spacing w:before="120" w:after="120"/>
            </w:pPr>
            <w:r>
              <w:rPr>
                <w:color w:val="000000"/>
                <w:szCs w:val="24"/>
              </w:rPr>
              <w:t>hexagonal layout with 7, 3 Sectors</w:t>
            </w:r>
          </w:p>
        </w:tc>
      </w:tr>
      <w:tr>
        <w:tblPrEx>
          <w:tblCellMar>
            <w:top w:w="0" w:type="dxa"/>
            <w:left w:w="0" w:type="dxa"/>
            <w:bottom w:w="0" w:type="dxa"/>
            <w:right w:w="0" w:type="dxa"/>
          </w:tblCellMar>
        </w:tblPrEx>
        <w:trPr>
          <w:trHeight w:val="300" w:hRule="atLeast"/>
          <w:tblCellSpacing w:w="0" w:type="dxa"/>
          <w:jc w:val="center"/>
        </w:trPr>
        <w:tc>
          <w:tcPr>
            <w:tcW w:w="2091"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Inter-BS distance</w:t>
            </w:r>
          </w:p>
        </w:tc>
        <w:tc>
          <w:tcPr>
            <w:tcW w:w="375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20m</w:t>
            </w:r>
          </w:p>
        </w:tc>
        <w:tc>
          <w:tcPr>
            <w:tcW w:w="355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200m</w:t>
            </w:r>
          </w:p>
        </w:tc>
      </w:tr>
      <w:tr>
        <w:tblPrEx>
          <w:tblCellMar>
            <w:top w:w="0" w:type="dxa"/>
            <w:left w:w="0" w:type="dxa"/>
            <w:bottom w:w="0" w:type="dxa"/>
            <w:right w:w="0" w:type="dxa"/>
          </w:tblCellMar>
        </w:tblPrEx>
        <w:trPr>
          <w:trHeight w:val="300" w:hRule="atLeast"/>
          <w:tblCellSpacing w:w="0" w:type="dxa"/>
          <w:jc w:val="center"/>
        </w:trPr>
        <w:tc>
          <w:tcPr>
            <w:tcW w:w="2091"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Carrier frequency</w:t>
            </w:r>
          </w:p>
        </w:tc>
        <w:tc>
          <w:tcPr>
            <w:tcW w:w="7307" w:type="dxa"/>
            <w:gridSpan w:val="2"/>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4 GHz</w:t>
            </w:r>
          </w:p>
        </w:tc>
      </w:tr>
      <w:tr>
        <w:tblPrEx>
          <w:tblCellMar>
            <w:top w:w="0" w:type="dxa"/>
            <w:left w:w="0" w:type="dxa"/>
            <w:bottom w:w="0" w:type="dxa"/>
            <w:right w:w="0" w:type="dxa"/>
          </w:tblCellMar>
        </w:tblPrEx>
        <w:trPr>
          <w:trHeight w:val="300" w:hRule="atLeast"/>
          <w:tblCellSpacing w:w="0" w:type="dxa"/>
          <w:jc w:val="center"/>
        </w:trPr>
        <w:tc>
          <w:tcPr>
            <w:tcW w:w="2091"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Simulation bandwidth</w:t>
            </w:r>
          </w:p>
        </w:tc>
        <w:tc>
          <w:tcPr>
            <w:tcW w:w="7307" w:type="dxa"/>
            <w:gridSpan w:val="2"/>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100 MHz</w:t>
            </w:r>
          </w:p>
        </w:tc>
      </w:tr>
      <w:tr>
        <w:tblPrEx>
          <w:tblCellMar>
            <w:top w:w="0" w:type="dxa"/>
            <w:left w:w="0" w:type="dxa"/>
            <w:bottom w:w="0" w:type="dxa"/>
            <w:right w:w="0" w:type="dxa"/>
          </w:tblCellMar>
        </w:tblPrEx>
        <w:trPr>
          <w:trHeight w:val="300" w:hRule="atLeast"/>
          <w:tblCellSpacing w:w="0" w:type="dxa"/>
          <w:jc w:val="center"/>
        </w:trPr>
        <w:tc>
          <w:tcPr>
            <w:tcW w:w="2091"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Subcarrier spacing</w:t>
            </w:r>
          </w:p>
        </w:tc>
        <w:tc>
          <w:tcPr>
            <w:tcW w:w="7307" w:type="dxa"/>
            <w:gridSpan w:val="2"/>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30 KHz</w:t>
            </w:r>
          </w:p>
        </w:tc>
      </w:tr>
      <w:tr>
        <w:tblPrEx>
          <w:tblCellMar>
            <w:top w:w="0" w:type="dxa"/>
            <w:left w:w="0" w:type="dxa"/>
            <w:bottom w:w="0" w:type="dxa"/>
            <w:right w:w="0" w:type="dxa"/>
          </w:tblCellMar>
        </w:tblPrEx>
        <w:trPr>
          <w:trHeight w:val="300" w:hRule="atLeast"/>
          <w:tblCellSpacing w:w="0" w:type="dxa"/>
          <w:jc w:val="center"/>
        </w:trPr>
        <w:tc>
          <w:tcPr>
            <w:tcW w:w="2091"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TDD pattern</w:t>
            </w:r>
          </w:p>
        </w:tc>
        <w:tc>
          <w:tcPr>
            <w:tcW w:w="7307" w:type="dxa"/>
            <w:gridSpan w:val="2"/>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DDDSU (10D:2G:2U)</w:t>
            </w:r>
          </w:p>
        </w:tc>
      </w:tr>
      <w:tr>
        <w:tblPrEx>
          <w:tblCellMar>
            <w:top w:w="0" w:type="dxa"/>
            <w:left w:w="0" w:type="dxa"/>
            <w:bottom w:w="0" w:type="dxa"/>
            <w:right w:w="0" w:type="dxa"/>
          </w:tblCellMar>
        </w:tblPrEx>
        <w:trPr>
          <w:trHeight w:val="300" w:hRule="atLeast"/>
          <w:tblCellSpacing w:w="0" w:type="dxa"/>
          <w:jc w:val="center"/>
        </w:trPr>
        <w:tc>
          <w:tcPr>
            <w:tcW w:w="2091"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BS antenna configuration</w:t>
            </w:r>
          </w:p>
        </w:tc>
        <w:tc>
          <w:tcPr>
            <w:tcW w:w="375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32 Tx antenna ports, and (dH, dV) = (0.5λ, 0.5λ)</w:t>
            </w:r>
          </w:p>
          <w:p>
            <w:pPr>
              <w:pStyle w:val="21"/>
              <w:spacing w:before="120" w:after="120"/>
            </w:pPr>
            <w:r>
              <w:rPr>
                <w:color w:val="000000"/>
                <w:szCs w:val="24"/>
              </w:rPr>
              <w:t>32 Tx: (M, N, P, Mg, Ng; Mp, Np) = (4, 4, 2, 1, 1; 4, 4)</w:t>
            </w:r>
          </w:p>
          <w:p>
            <w:pPr>
              <w:pStyle w:val="21"/>
              <w:spacing w:before="120" w:after="120"/>
            </w:pPr>
            <w:r>
              <w:rPr>
                <w:color w:val="000000"/>
                <w:szCs w:val="24"/>
              </w:rPr>
              <w:t>The antenna tilt is 90 degrees</w:t>
            </w:r>
          </w:p>
        </w:tc>
        <w:tc>
          <w:tcPr>
            <w:tcW w:w="355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64 Tx antenna ports, and (dH, dV) = (0.5λ, 0.5λ);</w:t>
            </w:r>
          </w:p>
          <w:p>
            <w:pPr>
              <w:pStyle w:val="21"/>
              <w:spacing w:before="120" w:after="120"/>
            </w:pPr>
            <w:r>
              <w:rPr>
                <w:color w:val="000000"/>
                <w:szCs w:val="24"/>
              </w:rPr>
              <w:t>64TX:(M, N, P, Mg, Ng; Mp, Np) = (8,8, 2, 1, 1; 4, 8); </w:t>
            </w:r>
          </w:p>
          <w:p>
            <w:pPr>
              <w:pStyle w:val="21"/>
              <w:spacing w:before="120" w:after="120"/>
            </w:pPr>
            <w:r>
              <w:rPr>
                <w:color w:val="000000"/>
                <w:szCs w:val="24"/>
              </w:rPr>
              <w:t>The antenna tilt is 12 degrees.</w:t>
            </w:r>
          </w:p>
        </w:tc>
      </w:tr>
      <w:tr>
        <w:tblPrEx>
          <w:tblCellMar>
            <w:top w:w="0" w:type="dxa"/>
            <w:left w:w="0" w:type="dxa"/>
            <w:bottom w:w="0" w:type="dxa"/>
            <w:right w:w="0" w:type="dxa"/>
          </w:tblCellMar>
        </w:tblPrEx>
        <w:trPr>
          <w:trHeight w:val="300" w:hRule="atLeast"/>
          <w:tblCellSpacing w:w="0" w:type="dxa"/>
          <w:jc w:val="center"/>
        </w:trPr>
        <w:tc>
          <w:tcPr>
            <w:tcW w:w="2091"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UE antenna configuration</w:t>
            </w:r>
          </w:p>
        </w:tc>
        <w:tc>
          <w:tcPr>
            <w:tcW w:w="7307" w:type="dxa"/>
            <w:gridSpan w:val="2"/>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4 Rx antenna ports, and Panel model 1: dH = 0.5λ</w:t>
            </w:r>
          </w:p>
          <w:p>
            <w:pPr>
              <w:pStyle w:val="21"/>
              <w:spacing w:before="120" w:after="120"/>
            </w:pPr>
            <w:r>
              <w:rPr>
                <w:color w:val="000000"/>
                <w:szCs w:val="24"/>
              </w:rPr>
              <w:t>4 Rx: (M, N, P, Mg, Ng; Mp, Np)</w:t>
            </w:r>
          </w:p>
        </w:tc>
      </w:tr>
      <w:tr>
        <w:tblPrEx>
          <w:tblCellMar>
            <w:top w:w="0" w:type="dxa"/>
            <w:left w:w="0" w:type="dxa"/>
            <w:bottom w:w="0" w:type="dxa"/>
            <w:right w:w="0" w:type="dxa"/>
          </w:tblCellMar>
        </w:tblPrEx>
        <w:trPr>
          <w:trHeight w:val="300" w:hRule="atLeast"/>
          <w:tblCellSpacing w:w="0" w:type="dxa"/>
          <w:jc w:val="center"/>
        </w:trPr>
        <w:tc>
          <w:tcPr>
            <w:tcW w:w="2091"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Scheduling algorithm</w:t>
            </w:r>
          </w:p>
        </w:tc>
        <w:tc>
          <w:tcPr>
            <w:tcW w:w="7307" w:type="dxa"/>
            <w:gridSpan w:val="2"/>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SU-MIMO+PF</w:t>
            </w:r>
          </w:p>
        </w:tc>
      </w:tr>
      <w:tr>
        <w:tblPrEx>
          <w:tblCellMar>
            <w:top w:w="0" w:type="dxa"/>
            <w:left w:w="0" w:type="dxa"/>
            <w:bottom w:w="0" w:type="dxa"/>
            <w:right w:w="0" w:type="dxa"/>
          </w:tblCellMar>
        </w:tblPrEx>
        <w:trPr>
          <w:trHeight w:val="300" w:hRule="atLeast"/>
          <w:tblCellSpacing w:w="0" w:type="dxa"/>
          <w:jc w:val="center"/>
        </w:trPr>
        <w:tc>
          <w:tcPr>
            <w:tcW w:w="2091"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BS height</w:t>
            </w:r>
          </w:p>
        </w:tc>
        <w:tc>
          <w:tcPr>
            <w:tcW w:w="375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3 m</w:t>
            </w:r>
          </w:p>
        </w:tc>
        <w:tc>
          <w:tcPr>
            <w:tcW w:w="355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25m</w:t>
            </w:r>
          </w:p>
        </w:tc>
      </w:tr>
      <w:tr>
        <w:tblPrEx>
          <w:tblCellMar>
            <w:top w:w="0" w:type="dxa"/>
            <w:left w:w="0" w:type="dxa"/>
            <w:bottom w:w="0" w:type="dxa"/>
            <w:right w:w="0" w:type="dxa"/>
          </w:tblCellMar>
        </w:tblPrEx>
        <w:trPr>
          <w:trHeight w:val="300" w:hRule="atLeast"/>
          <w:tblCellSpacing w:w="0" w:type="dxa"/>
          <w:jc w:val="center"/>
        </w:trPr>
        <w:tc>
          <w:tcPr>
            <w:tcW w:w="2091"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UE height</w:t>
            </w:r>
          </w:p>
        </w:tc>
        <w:tc>
          <w:tcPr>
            <w:tcW w:w="375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1.5 m</w:t>
            </w:r>
          </w:p>
        </w:tc>
        <w:tc>
          <w:tcPr>
            <w:tcW w:w="355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Outdoor UEs: 1.5 m</w:t>
            </w:r>
          </w:p>
          <w:p>
            <w:pPr>
              <w:pStyle w:val="21"/>
              <w:spacing w:before="120" w:after="120"/>
            </w:pPr>
            <w:r>
              <w:rPr>
                <w:color w:val="000000"/>
                <w:szCs w:val="24"/>
              </w:rPr>
              <w:t>Indoor UTs: 3(nfl – 1) + 1.5; </w:t>
            </w:r>
          </w:p>
        </w:tc>
      </w:tr>
      <w:tr>
        <w:tblPrEx>
          <w:tblCellMar>
            <w:top w:w="0" w:type="dxa"/>
            <w:left w:w="0" w:type="dxa"/>
            <w:bottom w:w="0" w:type="dxa"/>
            <w:right w:w="0" w:type="dxa"/>
          </w:tblCellMar>
        </w:tblPrEx>
        <w:trPr>
          <w:trHeight w:val="300" w:hRule="atLeast"/>
          <w:tblCellSpacing w:w="0" w:type="dxa"/>
          <w:jc w:val="center"/>
        </w:trPr>
        <w:tc>
          <w:tcPr>
            <w:tcW w:w="2091"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Antenna element gain</w:t>
            </w:r>
          </w:p>
        </w:tc>
        <w:tc>
          <w:tcPr>
            <w:tcW w:w="3750"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5dBi for BS and 0 dBi for UE</w:t>
            </w:r>
          </w:p>
        </w:tc>
        <w:tc>
          <w:tcPr>
            <w:tcW w:w="355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8dBi for BS and 0 dBi for UE</w:t>
            </w:r>
          </w:p>
        </w:tc>
      </w:tr>
      <w:tr>
        <w:tblPrEx>
          <w:tblCellMar>
            <w:top w:w="0" w:type="dxa"/>
            <w:left w:w="0" w:type="dxa"/>
            <w:bottom w:w="0" w:type="dxa"/>
            <w:right w:w="0" w:type="dxa"/>
          </w:tblCellMar>
        </w:tblPrEx>
        <w:trPr>
          <w:trHeight w:val="300" w:hRule="atLeast"/>
          <w:tblCellSpacing w:w="0" w:type="dxa"/>
          <w:jc w:val="center"/>
        </w:trPr>
        <w:tc>
          <w:tcPr>
            <w:tcW w:w="2091"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Receiver Noise Figure</w:t>
            </w:r>
          </w:p>
        </w:tc>
        <w:tc>
          <w:tcPr>
            <w:tcW w:w="7307" w:type="dxa"/>
            <w:gridSpan w:val="2"/>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5dB for BS and 9 dB for UE</w:t>
            </w:r>
          </w:p>
        </w:tc>
      </w:tr>
      <w:tr>
        <w:tblPrEx>
          <w:tblCellMar>
            <w:top w:w="0" w:type="dxa"/>
            <w:left w:w="0" w:type="dxa"/>
            <w:bottom w:w="0" w:type="dxa"/>
            <w:right w:w="0" w:type="dxa"/>
          </w:tblCellMar>
        </w:tblPrEx>
        <w:trPr>
          <w:trHeight w:val="300" w:hRule="atLeast"/>
          <w:tblCellSpacing w:w="0" w:type="dxa"/>
          <w:jc w:val="center"/>
        </w:trPr>
        <w:tc>
          <w:tcPr>
            <w:tcW w:w="2091"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HARQ/Repetition</w:t>
            </w:r>
          </w:p>
        </w:tc>
        <w:tc>
          <w:tcPr>
            <w:tcW w:w="7307" w:type="dxa"/>
            <w:gridSpan w:val="2"/>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tcPr>
          <w:p>
            <w:pPr>
              <w:pStyle w:val="21"/>
              <w:spacing w:before="120" w:after="120"/>
            </w:pPr>
            <w:r>
              <w:rPr>
                <w:color w:val="000000"/>
                <w:szCs w:val="24"/>
              </w:rPr>
              <w:t>HARQ retransmission</w:t>
            </w:r>
          </w:p>
        </w:tc>
      </w:tr>
    </w:tbl>
    <w:p>
      <w:pPr>
        <w:pStyle w:val="37"/>
        <w:numPr>
          <w:ilvl w:val="0"/>
          <w:numId w:val="0"/>
        </w:numPr>
        <w:spacing w:before="120" w:after="120"/>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7"/>
                            <w:spacing w:before="120" w:after="120"/>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7"/>
                      <w:spacing w:before="120" w:after="120"/>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ADBCB8"/>
    <w:multiLevelType w:val="singleLevel"/>
    <w:tmpl w:val="99ADBCB8"/>
    <w:lvl w:ilvl="0" w:tentative="0">
      <w:start w:val="1"/>
      <w:numFmt w:val="bullet"/>
      <w:lvlText w:val=""/>
      <w:lvlJc w:val="left"/>
      <w:pPr>
        <w:tabs>
          <w:tab w:val="left" w:pos="420"/>
        </w:tabs>
        <w:ind w:left="840" w:hanging="420"/>
      </w:pPr>
      <w:rPr>
        <w:rFonts w:hint="default" w:ascii="Wingdings" w:hAnsi="Wingdings" w:cs="Wingdings"/>
      </w:rPr>
    </w:lvl>
  </w:abstractNum>
  <w:abstractNum w:abstractNumId="1">
    <w:nsid w:val="AB34B193"/>
    <w:multiLevelType w:val="singleLevel"/>
    <w:tmpl w:val="AB34B193"/>
    <w:lvl w:ilvl="0" w:tentative="0">
      <w:start w:val="1"/>
      <w:numFmt w:val="decimal"/>
      <w:pStyle w:val="58"/>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2">
    <w:nsid w:val="BD0CA652"/>
    <w:multiLevelType w:val="multilevel"/>
    <w:tmpl w:val="BD0CA652"/>
    <w:lvl w:ilvl="0" w:tentative="0">
      <w:start w:val="1"/>
      <w:numFmt w:val="decimal"/>
      <w:pStyle w:val="61"/>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F446D106"/>
    <w:multiLevelType w:val="singleLevel"/>
    <w:tmpl w:val="F446D106"/>
    <w:lvl w:ilvl="0" w:tentative="0">
      <w:start w:val="1"/>
      <w:numFmt w:val="bullet"/>
      <w:lvlText w:val="§"/>
      <w:lvlJc w:val="left"/>
      <w:pPr>
        <w:tabs>
          <w:tab w:val="left" w:pos="420"/>
        </w:tabs>
        <w:ind w:left="840" w:leftChars="0" w:hanging="420" w:firstLineChars="0"/>
      </w:pPr>
      <w:rPr>
        <w:rFonts w:hint="default" w:ascii="Wingdings" w:hAnsi="Wingdings" w:cs="Wingdings"/>
      </w:rPr>
    </w:lvl>
  </w:abstractNum>
  <w:abstractNum w:abstractNumId="4">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2977"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0" w:firstLine="0"/>
      </w:pPr>
      <w:rPr>
        <w:rFonts w:hint="default" w:ascii="Arial" w:hAnsi="Arial" w:cs="Arial"/>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3A877D64"/>
    <w:multiLevelType w:val="singleLevel"/>
    <w:tmpl w:val="3A877D64"/>
    <w:lvl w:ilvl="0" w:tentative="0">
      <w:start w:val="1"/>
      <w:numFmt w:val="decimal"/>
      <w:pStyle w:val="37"/>
      <w:lvlText w:val="[%1]"/>
      <w:lvlJc w:val="left"/>
      <w:pPr>
        <w:tabs>
          <w:tab w:val="left" w:pos="360"/>
        </w:tabs>
        <w:ind w:left="360" w:hanging="360"/>
      </w:pPr>
    </w:lvl>
  </w:abstractNum>
  <w:abstractNum w:abstractNumId="6">
    <w:nsid w:val="3F497F70"/>
    <w:multiLevelType w:val="multilevel"/>
    <w:tmpl w:val="3F497F70"/>
    <w:lvl w:ilvl="0" w:tentative="0">
      <w:start w:val="1"/>
      <w:numFmt w:val="bullet"/>
      <w:lvlText w:val=""/>
      <w:lvlJc w:val="left"/>
      <w:pPr>
        <w:ind w:left="420" w:leftChars="0" w:hanging="420" w:firstLineChars="0"/>
      </w:pPr>
      <w:rPr>
        <w:rFonts w:hint="default" w:ascii="Wingdings" w:hAnsi="Wingdings" w:cs="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7">
    <w:nsid w:val="70146DC0"/>
    <w:multiLevelType w:val="multilevel"/>
    <w:tmpl w:val="70146DC0"/>
    <w:lvl w:ilvl="0" w:tentative="0">
      <w:start w:val="1"/>
      <w:numFmt w:val="bullet"/>
      <w:pStyle w:val="75"/>
      <w:lvlText w:val=""/>
      <w:lvlJc w:val="left"/>
      <w:pPr>
        <w:tabs>
          <w:tab w:val="left" w:pos="3620"/>
        </w:tabs>
        <w:ind w:left="362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5"/>
  </w:num>
  <w:num w:numId="3">
    <w:abstractNumId w:val="1"/>
  </w:num>
  <w:num w:numId="4">
    <w:abstractNumId w:val="2"/>
  </w:num>
  <w:num w:numId="5">
    <w:abstractNumId w:val="7"/>
  </w:num>
  <w:num w:numId="6">
    <w:abstractNumId w:val="6"/>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50423"/>
    <w:rsid w:val="00051F4E"/>
    <w:rsid w:val="000529AC"/>
    <w:rsid w:val="00071FB7"/>
    <w:rsid w:val="00072FB0"/>
    <w:rsid w:val="00093DF3"/>
    <w:rsid w:val="000A15BE"/>
    <w:rsid w:val="000C1A96"/>
    <w:rsid w:val="000D0462"/>
    <w:rsid w:val="000D627E"/>
    <w:rsid w:val="000D75A5"/>
    <w:rsid w:val="000E2433"/>
    <w:rsid w:val="000F28CA"/>
    <w:rsid w:val="00103906"/>
    <w:rsid w:val="00105F85"/>
    <w:rsid w:val="00120AF7"/>
    <w:rsid w:val="00142961"/>
    <w:rsid w:val="001470AA"/>
    <w:rsid w:val="00153BF7"/>
    <w:rsid w:val="00154DBD"/>
    <w:rsid w:val="00155D9F"/>
    <w:rsid w:val="0016113B"/>
    <w:rsid w:val="001632AB"/>
    <w:rsid w:val="00172A27"/>
    <w:rsid w:val="001754AE"/>
    <w:rsid w:val="0018732E"/>
    <w:rsid w:val="00191912"/>
    <w:rsid w:val="00195F46"/>
    <w:rsid w:val="001A1539"/>
    <w:rsid w:val="001B3634"/>
    <w:rsid w:val="001B6753"/>
    <w:rsid w:val="001C1894"/>
    <w:rsid w:val="001C196F"/>
    <w:rsid w:val="001D1287"/>
    <w:rsid w:val="001E0651"/>
    <w:rsid w:val="001E125B"/>
    <w:rsid w:val="001E262F"/>
    <w:rsid w:val="001F1BB1"/>
    <w:rsid w:val="001F2BCD"/>
    <w:rsid w:val="001F415E"/>
    <w:rsid w:val="001F6E58"/>
    <w:rsid w:val="0020406B"/>
    <w:rsid w:val="00212872"/>
    <w:rsid w:val="00216169"/>
    <w:rsid w:val="002240E1"/>
    <w:rsid w:val="00224A1A"/>
    <w:rsid w:val="00227DF5"/>
    <w:rsid w:val="002320CA"/>
    <w:rsid w:val="002401EC"/>
    <w:rsid w:val="00243B44"/>
    <w:rsid w:val="00244ABB"/>
    <w:rsid w:val="00247A67"/>
    <w:rsid w:val="00251814"/>
    <w:rsid w:val="00256B05"/>
    <w:rsid w:val="00261BCE"/>
    <w:rsid w:val="00261C72"/>
    <w:rsid w:val="0026766E"/>
    <w:rsid w:val="00272803"/>
    <w:rsid w:val="002748A9"/>
    <w:rsid w:val="00282069"/>
    <w:rsid w:val="002838BB"/>
    <w:rsid w:val="002B4661"/>
    <w:rsid w:val="002C0A19"/>
    <w:rsid w:val="002C4448"/>
    <w:rsid w:val="002C68AC"/>
    <w:rsid w:val="002C7CCD"/>
    <w:rsid w:val="002F0E7A"/>
    <w:rsid w:val="002F2535"/>
    <w:rsid w:val="002F5687"/>
    <w:rsid w:val="002F5A8D"/>
    <w:rsid w:val="00302F20"/>
    <w:rsid w:val="00303936"/>
    <w:rsid w:val="003116EC"/>
    <w:rsid w:val="00312558"/>
    <w:rsid w:val="00314748"/>
    <w:rsid w:val="00316046"/>
    <w:rsid w:val="00317501"/>
    <w:rsid w:val="00322EE2"/>
    <w:rsid w:val="00325902"/>
    <w:rsid w:val="003275A3"/>
    <w:rsid w:val="00332D30"/>
    <w:rsid w:val="0033573E"/>
    <w:rsid w:val="00335FF9"/>
    <w:rsid w:val="0034009F"/>
    <w:rsid w:val="00340631"/>
    <w:rsid w:val="00343CE4"/>
    <w:rsid w:val="00344E48"/>
    <w:rsid w:val="003466BB"/>
    <w:rsid w:val="0035253F"/>
    <w:rsid w:val="00361D52"/>
    <w:rsid w:val="003704FF"/>
    <w:rsid w:val="00370D7F"/>
    <w:rsid w:val="00372A00"/>
    <w:rsid w:val="00373667"/>
    <w:rsid w:val="00376E4B"/>
    <w:rsid w:val="00376EEB"/>
    <w:rsid w:val="003872BB"/>
    <w:rsid w:val="00396F31"/>
    <w:rsid w:val="00397BA3"/>
    <w:rsid w:val="003A1DCE"/>
    <w:rsid w:val="003A4365"/>
    <w:rsid w:val="003A6BBE"/>
    <w:rsid w:val="003A7EAD"/>
    <w:rsid w:val="003B0E22"/>
    <w:rsid w:val="003B53DF"/>
    <w:rsid w:val="003D0905"/>
    <w:rsid w:val="003D44C6"/>
    <w:rsid w:val="003D5CFD"/>
    <w:rsid w:val="003F7415"/>
    <w:rsid w:val="004003D2"/>
    <w:rsid w:val="004209E1"/>
    <w:rsid w:val="0042238B"/>
    <w:rsid w:val="00450C17"/>
    <w:rsid w:val="004527B1"/>
    <w:rsid w:val="004545A5"/>
    <w:rsid w:val="004608F6"/>
    <w:rsid w:val="004724B4"/>
    <w:rsid w:val="00472B06"/>
    <w:rsid w:val="00477655"/>
    <w:rsid w:val="0048120F"/>
    <w:rsid w:val="00482706"/>
    <w:rsid w:val="00485AE0"/>
    <w:rsid w:val="00485FFE"/>
    <w:rsid w:val="00490434"/>
    <w:rsid w:val="004A142B"/>
    <w:rsid w:val="004A5D1D"/>
    <w:rsid w:val="004A699E"/>
    <w:rsid w:val="004B44A9"/>
    <w:rsid w:val="004C1A54"/>
    <w:rsid w:val="004F5994"/>
    <w:rsid w:val="00500F45"/>
    <w:rsid w:val="00503921"/>
    <w:rsid w:val="00507A00"/>
    <w:rsid w:val="005176E7"/>
    <w:rsid w:val="00523589"/>
    <w:rsid w:val="00523668"/>
    <w:rsid w:val="00523AD9"/>
    <w:rsid w:val="00523D5E"/>
    <w:rsid w:val="00527033"/>
    <w:rsid w:val="00530214"/>
    <w:rsid w:val="00531B5B"/>
    <w:rsid w:val="00532500"/>
    <w:rsid w:val="005349A5"/>
    <w:rsid w:val="00541B22"/>
    <w:rsid w:val="00546436"/>
    <w:rsid w:val="00547723"/>
    <w:rsid w:val="00564BCB"/>
    <w:rsid w:val="005725AF"/>
    <w:rsid w:val="00572F6E"/>
    <w:rsid w:val="00574776"/>
    <w:rsid w:val="0058526A"/>
    <w:rsid w:val="0059321F"/>
    <w:rsid w:val="00593818"/>
    <w:rsid w:val="005A05C6"/>
    <w:rsid w:val="005A0FE9"/>
    <w:rsid w:val="005B77A5"/>
    <w:rsid w:val="005C6B42"/>
    <w:rsid w:val="005D6A1C"/>
    <w:rsid w:val="005E2C89"/>
    <w:rsid w:val="005F26E5"/>
    <w:rsid w:val="006020A3"/>
    <w:rsid w:val="00604404"/>
    <w:rsid w:val="00611232"/>
    <w:rsid w:val="00614E28"/>
    <w:rsid w:val="00617327"/>
    <w:rsid w:val="00617EE7"/>
    <w:rsid w:val="00620288"/>
    <w:rsid w:val="00620D7C"/>
    <w:rsid w:val="006231ED"/>
    <w:rsid w:val="00624C23"/>
    <w:rsid w:val="00633E43"/>
    <w:rsid w:val="00635AF2"/>
    <w:rsid w:val="00637D11"/>
    <w:rsid w:val="00640B94"/>
    <w:rsid w:val="00642298"/>
    <w:rsid w:val="00646EAA"/>
    <w:rsid w:val="006501AA"/>
    <w:rsid w:val="00652F9D"/>
    <w:rsid w:val="006536B8"/>
    <w:rsid w:val="00676C72"/>
    <w:rsid w:val="00680FFF"/>
    <w:rsid w:val="00691376"/>
    <w:rsid w:val="006922EF"/>
    <w:rsid w:val="00694FB9"/>
    <w:rsid w:val="006B0346"/>
    <w:rsid w:val="006B1DC3"/>
    <w:rsid w:val="006C2229"/>
    <w:rsid w:val="006C55B1"/>
    <w:rsid w:val="006C5F9A"/>
    <w:rsid w:val="006C69C1"/>
    <w:rsid w:val="006D11DE"/>
    <w:rsid w:val="006D3D89"/>
    <w:rsid w:val="006E01C3"/>
    <w:rsid w:val="006F4852"/>
    <w:rsid w:val="006F4D28"/>
    <w:rsid w:val="00700636"/>
    <w:rsid w:val="00701BF9"/>
    <w:rsid w:val="00702237"/>
    <w:rsid w:val="007036F7"/>
    <w:rsid w:val="0070691A"/>
    <w:rsid w:val="0070693A"/>
    <w:rsid w:val="00707117"/>
    <w:rsid w:val="00717A38"/>
    <w:rsid w:val="0073053B"/>
    <w:rsid w:val="00735DC1"/>
    <w:rsid w:val="00736398"/>
    <w:rsid w:val="00737786"/>
    <w:rsid w:val="007427BB"/>
    <w:rsid w:val="007440A2"/>
    <w:rsid w:val="00745143"/>
    <w:rsid w:val="00747C56"/>
    <w:rsid w:val="007501AC"/>
    <w:rsid w:val="00762F1B"/>
    <w:rsid w:val="0076682E"/>
    <w:rsid w:val="00774CE0"/>
    <w:rsid w:val="0077581A"/>
    <w:rsid w:val="0077761A"/>
    <w:rsid w:val="00784828"/>
    <w:rsid w:val="00785A2A"/>
    <w:rsid w:val="00786A2C"/>
    <w:rsid w:val="00787FA9"/>
    <w:rsid w:val="007A0CD8"/>
    <w:rsid w:val="007B0FD9"/>
    <w:rsid w:val="007B447A"/>
    <w:rsid w:val="007B458B"/>
    <w:rsid w:val="007C4328"/>
    <w:rsid w:val="007C440F"/>
    <w:rsid w:val="007E4A23"/>
    <w:rsid w:val="007F39F4"/>
    <w:rsid w:val="00802A15"/>
    <w:rsid w:val="00810C42"/>
    <w:rsid w:val="00816EF3"/>
    <w:rsid w:val="008266C4"/>
    <w:rsid w:val="008412CD"/>
    <w:rsid w:val="0084332A"/>
    <w:rsid w:val="00847621"/>
    <w:rsid w:val="00852635"/>
    <w:rsid w:val="0085443B"/>
    <w:rsid w:val="00856ECB"/>
    <w:rsid w:val="00857E93"/>
    <w:rsid w:val="008652E8"/>
    <w:rsid w:val="00870679"/>
    <w:rsid w:val="00870E40"/>
    <w:rsid w:val="00886E49"/>
    <w:rsid w:val="00886EA7"/>
    <w:rsid w:val="00892B4C"/>
    <w:rsid w:val="00893268"/>
    <w:rsid w:val="0089344F"/>
    <w:rsid w:val="00894520"/>
    <w:rsid w:val="008A72B5"/>
    <w:rsid w:val="008B3130"/>
    <w:rsid w:val="008B547D"/>
    <w:rsid w:val="008B5C48"/>
    <w:rsid w:val="008B7F10"/>
    <w:rsid w:val="008C0445"/>
    <w:rsid w:val="008E17BA"/>
    <w:rsid w:val="008E5059"/>
    <w:rsid w:val="008F255E"/>
    <w:rsid w:val="008F3DC8"/>
    <w:rsid w:val="00903A35"/>
    <w:rsid w:val="00913703"/>
    <w:rsid w:val="00922624"/>
    <w:rsid w:val="00923BDA"/>
    <w:rsid w:val="0093617A"/>
    <w:rsid w:val="009411A5"/>
    <w:rsid w:val="00942AEE"/>
    <w:rsid w:val="00946A7C"/>
    <w:rsid w:val="00950DB1"/>
    <w:rsid w:val="00952C83"/>
    <w:rsid w:val="00956A30"/>
    <w:rsid w:val="00957418"/>
    <w:rsid w:val="009610C6"/>
    <w:rsid w:val="0096194F"/>
    <w:rsid w:val="00966E7D"/>
    <w:rsid w:val="00970630"/>
    <w:rsid w:val="00971A1F"/>
    <w:rsid w:val="009734B7"/>
    <w:rsid w:val="00983FE2"/>
    <w:rsid w:val="00986B97"/>
    <w:rsid w:val="00994A41"/>
    <w:rsid w:val="009A380A"/>
    <w:rsid w:val="009A3A36"/>
    <w:rsid w:val="009A4F31"/>
    <w:rsid w:val="009B05AD"/>
    <w:rsid w:val="009B18A3"/>
    <w:rsid w:val="009B5557"/>
    <w:rsid w:val="009D5B5E"/>
    <w:rsid w:val="009D6400"/>
    <w:rsid w:val="009D7770"/>
    <w:rsid w:val="009D7C12"/>
    <w:rsid w:val="009F65A8"/>
    <w:rsid w:val="009F7747"/>
    <w:rsid w:val="00A055EB"/>
    <w:rsid w:val="00A05A33"/>
    <w:rsid w:val="00A14F22"/>
    <w:rsid w:val="00A171E5"/>
    <w:rsid w:val="00A17810"/>
    <w:rsid w:val="00A206C2"/>
    <w:rsid w:val="00A212A7"/>
    <w:rsid w:val="00A21523"/>
    <w:rsid w:val="00A26720"/>
    <w:rsid w:val="00A33BD9"/>
    <w:rsid w:val="00A40C3F"/>
    <w:rsid w:val="00A4182C"/>
    <w:rsid w:val="00A50B2A"/>
    <w:rsid w:val="00A53EC0"/>
    <w:rsid w:val="00A54A48"/>
    <w:rsid w:val="00A551E2"/>
    <w:rsid w:val="00A56849"/>
    <w:rsid w:val="00A656E5"/>
    <w:rsid w:val="00A809DB"/>
    <w:rsid w:val="00A86EB5"/>
    <w:rsid w:val="00A91773"/>
    <w:rsid w:val="00A92854"/>
    <w:rsid w:val="00A92CA8"/>
    <w:rsid w:val="00AA1889"/>
    <w:rsid w:val="00AB0AAF"/>
    <w:rsid w:val="00AB251B"/>
    <w:rsid w:val="00AB2640"/>
    <w:rsid w:val="00AB5108"/>
    <w:rsid w:val="00AB6D34"/>
    <w:rsid w:val="00AC24BF"/>
    <w:rsid w:val="00AD56C4"/>
    <w:rsid w:val="00AD7FE5"/>
    <w:rsid w:val="00AE5530"/>
    <w:rsid w:val="00B031EF"/>
    <w:rsid w:val="00B10C34"/>
    <w:rsid w:val="00B11405"/>
    <w:rsid w:val="00B11D9C"/>
    <w:rsid w:val="00B12602"/>
    <w:rsid w:val="00B138E9"/>
    <w:rsid w:val="00B179E3"/>
    <w:rsid w:val="00B245AA"/>
    <w:rsid w:val="00B34FF8"/>
    <w:rsid w:val="00B43645"/>
    <w:rsid w:val="00B54730"/>
    <w:rsid w:val="00B56091"/>
    <w:rsid w:val="00B60F6C"/>
    <w:rsid w:val="00B6468D"/>
    <w:rsid w:val="00B663FA"/>
    <w:rsid w:val="00B76824"/>
    <w:rsid w:val="00B81C3C"/>
    <w:rsid w:val="00B835B9"/>
    <w:rsid w:val="00B87210"/>
    <w:rsid w:val="00B87AB7"/>
    <w:rsid w:val="00BA72B7"/>
    <w:rsid w:val="00BA7674"/>
    <w:rsid w:val="00BB08C4"/>
    <w:rsid w:val="00BC35AC"/>
    <w:rsid w:val="00BD4277"/>
    <w:rsid w:val="00BD72A5"/>
    <w:rsid w:val="00BE22EC"/>
    <w:rsid w:val="00BE5D22"/>
    <w:rsid w:val="00BE7970"/>
    <w:rsid w:val="00BF526E"/>
    <w:rsid w:val="00BF743C"/>
    <w:rsid w:val="00BF7F4E"/>
    <w:rsid w:val="00C035D3"/>
    <w:rsid w:val="00C07C74"/>
    <w:rsid w:val="00C12784"/>
    <w:rsid w:val="00C16276"/>
    <w:rsid w:val="00C2142E"/>
    <w:rsid w:val="00C22FCF"/>
    <w:rsid w:val="00C2334E"/>
    <w:rsid w:val="00C257CC"/>
    <w:rsid w:val="00C2713A"/>
    <w:rsid w:val="00C3423A"/>
    <w:rsid w:val="00C34FD0"/>
    <w:rsid w:val="00C40F7F"/>
    <w:rsid w:val="00C625E3"/>
    <w:rsid w:val="00C67AE3"/>
    <w:rsid w:val="00C7295C"/>
    <w:rsid w:val="00C76271"/>
    <w:rsid w:val="00C829B3"/>
    <w:rsid w:val="00C82CC0"/>
    <w:rsid w:val="00C855D2"/>
    <w:rsid w:val="00C925E7"/>
    <w:rsid w:val="00CA09F5"/>
    <w:rsid w:val="00CA152B"/>
    <w:rsid w:val="00CB03D7"/>
    <w:rsid w:val="00CB046A"/>
    <w:rsid w:val="00CB7FB3"/>
    <w:rsid w:val="00CC01B0"/>
    <w:rsid w:val="00CC11A8"/>
    <w:rsid w:val="00CD5E4A"/>
    <w:rsid w:val="00CD62C4"/>
    <w:rsid w:val="00CD71E9"/>
    <w:rsid w:val="00CE32ED"/>
    <w:rsid w:val="00CF0062"/>
    <w:rsid w:val="00CF25E8"/>
    <w:rsid w:val="00CF4293"/>
    <w:rsid w:val="00D06F00"/>
    <w:rsid w:val="00D14578"/>
    <w:rsid w:val="00D24465"/>
    <w:rsid w:val="00D27BF8"/>
    <w:rsid w:val="00D30D70"/>
    <w:rsid w:val="00D30FF6"/>
    <w:rsid w:val="00D4375A"/>
    <w:rsid w:val="00D54AC3"/>
    <w:rsid w:val="00D54F1B"/>
    <w:rsid w:val="00D57D7B"/>
    <w:rsid w:val="00D60DA9"/>
    <w:rsid w:val="00D714E2"/>
    <w:rsid w:val="00D7289E"/>
    <w:rsid w:val="00D82CF5"/>
    <w:rsid w:val="00D838A0"/>
    <w:rsid w:val="00D871C4"/>
    <w:rsid w:val="00D8785A"/>
    <w:rsid w:val="00D91349"/>
    <w:rsid w:val="00D92E3B"/>
    <w:rsid w:val="00DA61EE"/>
    <w:rsid w:val="00DB0E95"/>
    <w:rsid w:val="00DB12AD"/>
    <w:rsid w:val="00DC0C4F"/>
    <w:rsid w:val="00DC1213"/>
    <w:rsid w:val="00DC6E1E"/>
    <w:rsid w:val="00DC70F6"/>
    <w:rsid w:val="00DC724A"/>
    <w:rsid w:val="00DD5F49"/>
    <w:rsid w:val="00DF4482"/>
    <w:rsid w:val="00E05651"/>
    <w:rsid w:val="00E068AA"/>
    <w:rsid w:val="00E13841"/>
    <w:rsid w:val="00E258FC"/>
    <w:rsid w:val="00E30348"/>
    <w:rsid w:val="00E339EA"/>
    <w:rsid w:val="00E404B1"/>
    <w:rsid w:val="00E52879"/>
    <w:rsid w:val="00E55791"/>
    <w:rsid w:val="00E56340"/>
    <w:rsid w:val="00E64ADC"/>
    <w:rsid w:val="00E67009"/>
    <w:rsid w:val="00E704FD"/>
    <w:rsid w:val="00E715EC"/>
    <w:rsid w:val="00E739E5"/>
    <w:rsid w:val="00E74561"/>
    <w:rsid w:val="00E74935"/>
    <w:rsid w:val="00E75D6F"/>
    <w:rsid w:val="00E847C5"/>
    <w:rsid w:val="00E8609B"/>
    <w:rsid w:val="00E92BF0"/>
    <w:rsid w:val="00E94718"/>
    <w:rsid w:val="00E95FFE"/>
    <w:rsid w:val="00EA0820"/>
    <w:rsid w:val="00EB70EA"/>
    <w:rsid w:val="00EC18C5"/>
    <w:rsid w:val="00ED0DCA"/>
    <w:rsid w:val="00ED47A7"/>
    <w:rsid w:val="00EE1EE7"/>
    <w:rsid w:val="00F019E9"/>
    <w:rsid w:val="00F05DFC"/>
    <w:rsid w:val="00F072E8"/>
    <w:rsid w:val="00F142A3"/>
    <w:rsid w:val="00F143A1"/>
    <w:rsid w:val="00F1480F"/>
    <w:rsid w:val="00F179F3"/>
    <w:rsid w:val="00F2072B"/>
    <w:rsid w:val="00F34277"/>
    <w:rsid w:val="00F4372E"/>
    <w:rsid w:val="00F453FE"/>
    <w:rsid w:val="00F71825"/>
    <w:rsid w:val="00F80169"/>
    <w:rsid w:val="00F81514"/>
    <w:rsid w:val="00F82200"/>
    <w:rsid w:val="00F86352"/>
    <w:rsid w:val="00F87040"/>
    <w:rsid w:val="00F95A32"/>
    <w:rsid w:val="00FA253B"/>
    <w:rsid w:val="00FA3FD9"/>
    <w:rsid w:val="00FA6AF6"/>
    <w:rsid w:val="00FA7D65"/>
    <w:rsid w:val="00FB593A"/>
    <w:rsid w:val="00FC1AD0"/>
    <w:rsid w:val="00FC20D8"/>
    <w:rsid w:val="00FC2737"/>
    <w:rsid w:val="00FC5029"/>
    <w:rsid w:val="00FC72FB"/>
    <w:rsid w:val="00FD1D97"/>
    <w:rsid w:val="00FE08CB"/>
    <w:rsid w:val="00FE0900"/>
    <w:rsid w:val="00FE3C08"/>
    <w:rsid w:val="010D0267"/>
    <w:rsid w:val="010D6400"/>
    <w:rsid w:val="01116D56"/>
    <w:rsid w:val="011C7F2E"/>
    <w:rsid w:val="01466B34"/>
    <w:rsid w:val="015462A2"/>
    <w:rsid w:val="01804EE8"/>
    <w:rsid w:val="01864AED"/>
    <w:rsid w:val="01881F56"/>
    <w:rsid w:val="01B74129"/>
    <w:rsid w:val="01C652D7"/>
    <w:rsid w:val="01E24E7A"/>
    <w:rsid w:val="01E96EEF"/>
    <w:rsid w:val="01F21886"/>
    <w:rsid w:val="0206750A"/>
    <w:rsid w:val="02081A95"/>
    <w:rsid w:val="020C3735"/>
    <w:rsid w:val="0213167F"/>
    <w:rsid w:val="021919F7"/>
    <w:rsid w:val="021F5697"/>
    <w:rsid w:val="023E4DC6"/>
    <w:rsid w:val="02443513"/>
    <w:rsid w:val="024C16A6"/>
    <w:rsid w:val="027B6543"/>
    <w:rsid w:val="027C2452"/>
    <w:rsid w:val="0294765E"/>
    <w:rsid w:val="02A23A7B"/>
    <w:rsid w:val="02BE42E8"/>
    <w:rsid w:val="031A6DDF"/>
    <w:rsid w:val="032219B3"/>
    <w:rsid w:val="035F7137"/>
    <w:rsid w:val="0368661B"/>
    <w:rsid w:val="03F50BF8"/>
    <w:rsid w:val="03F757EE"/>
    <w:rsid w:val="040D5006"/>
    <w:rsid w:val="040E43B5"/>
    <w:rsid w:val="04176B15"/>
    <w:rsid w:val="04250069"/>
    <w:rsid w:val="04332B60"/>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BA5A76"/>
    <w:rsid w:val="05C40254"/>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72476"/>
    <w:rsid w:val="07395562"/>
    <w:rsid w:val="073C0F1E"/>
    <w:rsid w:val="07573824"/>
    <w:rsid w:val="075A5568"/>
    <w:rsid w:val="077046F9"/>
    <w:rsid w:val="07816512"/>
    <w:rsid w:val="0797540B"/>
    <w:rsid w:val="07C51163"/>
    <w:rsid w:val="07F63B68"/>
    <w:rsid w:val="07FE43B3"/>
    <w:rsid w:val="07FF469C"/>
    <w:rsid w:val="08067A83"/>
    <w:rsid w:val="080C2DB1"/>
    <w:rsid w:val="083900EE"/>
    <w:rsid w:val="084F55D9"/>
    <w:rsid w:val="087807B5"/>
    <w:rsid w:val="087C2BF1"/>
    <w:rsid w:val="089D4BC3"/>
    <w:rsid w:val="08A367A0"/>
    <w:rsid w:val="08AD693C"/>
    <w:rsid w:val="08CA4673"/>
    <w:rsid w:val="08D24C49"/>
    <w:rsid w:val="08D545C6"/>
    <w:rsid w:val="08D92F9A"/>
    <w:rsid w:val="08E152BA"/>
    <w:rsid w:val="08E3236B"/>
    <w:rsid w:val="08E41C3F"/>
    <w:rsid w:val="08F362FF"/>
    <w:rsid w:val="08F76659"/>
    <w:rsid w:val="092A35DC"/>
    <w:rsid w:val="09733A93"/>
    <w:rsid w:val="09773AD2"/>
    <w:rsid w:val="09792594"/>
    <w:rsid w:val="09912D87"/>
    <w:rsid w:val="099D1F0E"/>
    <w:rsid w:val="09A13012"/>
    <w:rsid w:val="09B8038E"/>
    <w:rsid w:val="09B807DC"/>
    <w:rsid w:val="09B96487"/>
    <w:rsid w:val="09BB1324"/>
    <w:rsid w:val="09DD5F33"/>
    <w:rsid w:val="09E2510B"/>
    <w:rsid w:val="09E2618B"/>
    <w:rsid w:val="0A0D0A5C"/>
    <w:rsid w:val="0A1434BD"/>
    <w:rsid w:val="0A177598"/>
    <w:rsid w:val="0A253F38"/>
    <w:rsid w:val="0A2A0A4E"/>
    <w:rsid w:val="0A33259C"/>
    <w:rsid w:val="0A4A3703"/>
    <w:rsid w:val="0A670FF2"/>
    <w:rsid w:val="0A902401"/>
    <w:rsid w:val="0A9D2AB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059E6"/>
    <w:rsid w:val="0BC527E7"/>
    <w:rsid w:val="0BDE30C9"/>
    <w:rsid w:val="0BE9216B"/>
    <w:rsid w:val="0C04199B"/>
    <w:rsid w:val="0C0B0A79"/>
    <w:rsid w:val="0C182984"/>
    <w:rsid w:val="0C233DDB"/>
    <w:rsid w:val="0C243614"/>
    <w:rsid w:val="0C641CE4"/>
    <w:rsid w:val="0C8E4C85"/>
    <w:rsid w:val="0C9A21C7"/>
    <w:rsid w:val="0CBA3E26"/>
    <w:rsid w:val="0CC86926"/>
    <w:rsid w:val="0CCA2E65"/>
    <w:rsid w:val="0CD87B6A"/>
    <w:rsid w:val="0CE70F5A"/>
    <w:rsid w:val="0CED70FB"/>
    <w:rsid w:val="0CF04B26"/>
    <w:rsid w:val="0D0A0496"/>
    <w:rsid w:val="0D274B82"/>
    <w:rsid w:val="0D4813CE"/>
    <w:rsid w:val="0D6718A8"/>
    <w:rsid w:val="0D8A5C4C"/>
    <w:rsid w:val="0D9F59CC"/>
    <w:rsid w:val="0DA826B2"/>
    <w:rsid w:val="0DC40C23"/>
    <w:rsid w:val="0DC46801"/>
    <w:rsid w:val="0DD03A03"/>
    <w:rsid w:val="0DDA5E66"/>
    <w:rsid w:val="0DE30416"/>
    <w:rsid w:val="0DE80CCD"/>
    <w:rsid w:val="0DE92A73"/>
    <w:rsid w:val="0DFC6FB1"/>
    <w:rsid w:val="0E080D95"/>
    <w:rsid w:val="0E1B6666"/>
    <w:rsid w:val="0E342F61"/>
    <w:rsid w:val="0E546450"/>
    <w:rsid w:val="0E6A657A"/>
    <w:rsid w:val="0E8756CE"/>
    <w:rsid w:val="0E875907"/>
    <w:rsid w:val="0E9E306F"/>
    <w:rsid w:val="0EAE7F1E"/>
    <w:rsid w:val="0EBE485B"/>
    <w:rsid w:val="0ECE319D"/>
    <w:rsid w:val="0EE11FA9"/>
    <w:rsid w:val="0EEE11BD"/>
    <w:rsid w:val="0EF36676"/>
    <w:rsid w:val="0EFF2521"/>
    <w:rsid w:val="0F0E45C0"/>
    <w:rsid w:val="0F121040"/>
    <w:rsid w:val="0F244800"/>
    <w:rsid w:val="0F343655"/>
    <w:rsid w:val="0F644218"/>
    <w:rsid w:val="0F69419D"/>
    <w:rsid w:val="0F7D1FFA"/>
    <w:rsid w:val="0F824E01"/>
    <w:rsid w:val="0F8E4908"/>
    <w:rsid w:val="0F913335"/>
    <w:rsid w:val="0F96680B"/>
    <w:rsid w:val="0FB60B75"/>
    <w:rsid w:val="0FD96CA9"/>
    <w:rsid w:val="0FDD68DC"/>
    <w:rsid w:val="0FF15BB9"/>
    <w:rsid w:val="0FF906E7"/>
    <w:rsid w:val="0FF90AE6"/>
    <w:rsid w:val="0FFD586A"/>
    <w:rsid w:val="10020B62"/>
    <w:rsid w:val="10087FF8"/>
    <w:rsid w:val="1035011A"/>
    <w:rsid w:val="103607AE"/>
    <w:rsid w:val="10384280"/>
    <w:rsid w:val="105D7F23"/>
    <w:rsid w:val="108E0879"/>
    <w:rsid w:val="10C359D9"/>
    <w:rsid w:val="11011524"/>
    <w:rsid w:val="110877A1"/>
    <w:rsid w:val="110D72EA"/>
    <w:rsid w:val="110E7959"/>
    <w:rsid w:val="1119722C"/>
    <w:rsid w:val="1127264D"/>
    <w:rsid w:val="11434434"/>
    <w:rsid w:val="114A05F1"/>
    <w:rsid w:val="115B19E8"/>
    <w:rsid w:val="115C58D6"/>
    <w:rsid w:val="11604BE2"/>
    <w:rsid w:val="118F4329"/>
    <w:rsid w:val="119F6D5C"/>
    <w:rsid w:val="11A0225A"/>
    <w:rsid w:val="11A922D8"/>
    <w:rsid w:val="11D45AE1"/>
    <w:rsid w:val="11EA2125"/>
    <w:rsid w:val="12023099"/>
    <w:rsid w:val="12373AAE"/>
    <w:rsid w:val="123D7233"/>
    <w:rsid w:val="124D011C"/>
    <w:rsid w:val="125B107A"/>
    <w:rsid w:val="12753E07"/>
    <w:rsid w:val="127B28B7"/>
    <w:rsid w:val="129245E5"/>
    <w:rsid w:val="12C10D7D"/>
    <w:rsid w:val="12CE1204"/>
    <w:rsid w:val="12F06EE1"/>
    <w:rsid w:val="12F32533"/>
    <w:rsid w:val="12F34854"/>
    <w:rsid w:val="13153AEF"/>
    <w:rsid w:val="134F7B0B"/>
    <w:rsid w:val="13683A5C"/>
    <w:rsid w:val="137C5217"/>
    <w:rsid w:val="13917553"/>
    <w:rsid w:val="13A92B87"/>
    <w:rsid w:val="13B07F3E"/>
    <w:rsid w:val="13B26405"/>
    <w:rsid w:val="13BF5ED3"/>
    <w:rsid w:val="13FD1C15"/>
    <w:rsid w:val="14083C98"/>
    <w:rsid w:val="140876D8"/>
    <w:rsid w:val="14183C16"/>
    <w:rsid w:val="141845E0"/>
    <w:rsid w:val="141C18EA"/>
    <w:rsid w:val="141F1808"/>
    <w:rsid w:val="142E08FB"/>
    <w:rsid w:val="142F47CB"/>
    <w:rsid w:val="142F7B6B"/>
    <w:rsid w:val="1441758D"/>
    <w:rsid w:val="145B1FDF"/>
    <w:rsid w:val="145E7A95"/>
    <w:rsid w:val="146575A3"/>
    <w:rsid w:val="148B15E0"/>
    <w:rsid w:val="15006FBE"/>
    <w:rsid w:val="151F6B5A"/>
    <w:rsid w:val="15212130"/>
    <w:rsid w:val="156542CB"/>
    <w:rsid w:val="158014E9"/>
    <w:rsid w:val="158A5B50"/>
    <w:rsid w:val="159F23B3"/>
    <w:rsid w:val="15A2498C"/>
    <w:rsid w:val="15B66B91"/>
    <w:rsid w:val="15C3420A"/>
    <w:rsid w:val="15E47F68"/>
    <w:rsid w:val="15FF6EEC"/>
    <w:rsid w:val="16041E01"/>
    <w:rsid w:val="161A0996"/>
    <w:rsid w:val="16232CF9"/>
    <w:rsid w:val="16262029"/>
    <w:rsid w:val="16397749"/>
    <w:rsid w:val="16406CEA"/>
    <w:rsid w:val="16562259"/>
    <w:rsid w:val="165B3324"/>
    <w:rsid w:val="16764951"/>
    <w:rsid w:val="167A273E"/>
    <w:rsid w:val="16A61F0D"/>
    <w:rsid w:val="16AC5F02"/>
    <w:rsid w:val="16B27F4D"/>
    <w:rsid w:val="16C77FE5"/>
    <w:rsid w:val="16F47E57"/>
    <w:rsid w:val="16F53AB0"/>
    <w:rsid w:val="17172BD8"/>
    <w:rsid w:val="17220FF1"/>
    <w:rsid w:val="17245771"/>
    <w:rsid w:val="17320F2E"/>
    <w:rsid w:val="17613E3F"/>
    <w:rsid w:val="17664D13"/>
    <w:rsid w:val="1766777C"/>
    <w:rsid w:val="17676E2A"/>
    <w:rsid w:val="176D41EE"/>
    <w:rsid w:val="1780422F"/>
    <w:rsid w:val="17A75F25"/>
    <w:rsid w:val="17BD6AB4"/>
    <w:rsid w:val="17C023C9"/>
    <w:rsid w:val="17EF5DD9"/>
    <w:rsid w:val="18104B74"/>
    <w:rsid w:val="1818083E"/>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0E7B5B"/>
    <w:rsid w:val="19270D53"/>
    <w:rsid w:val="1927152C"/>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2D6BB5"/>
    <w:rsid w:val="1A3573C0"/>
    <w:rsid w:val="1A577219"/>
    <w:rsid w:val="1A58762F"/>
    <w:rsid w:val="1A6D533B"/>
    <w:rsid w:val="1A9D156F"/>
    <w:rsid w:val="1AA80D9B"/>
    <w:rsid w:val="1AA847EC"/>
    <w:rsid w:val="1AAD0BB3"/>
    <w:rsid w:val="1AD01EB8"/>
    <w:rsid w:val="1AD03E52"/>
    <w:rsid w:val="1AD875EC"/>
    <w:rsid w:val="1ADA68C3"/>
    <w:rsid w:val="1AE26A3D"/>
    <w:rsid w:val="1AF475AD"/>
    <w:rsid w:val="1AF92EDF"/>
    <w:rsid w:val="1AFD70F0"/>
    <w:rsid w:val="1B0270FF"/>
    <w:rsid w:val="1B181DD9"/>
    <w:rsid w:val="1B2F477F"/>
    <w:rsid w:val="1B68276D"/>
    <w:rsid w:val="1B6A4B34"/>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8D49BF"/>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23500"/>
    <w:rsid w:val="1E8D194D"/>
    <w:rsid w:val="1EA50F33"/>
    <w:rsid w:val="1ED503FA"/>
    <w:rsid w:val="1EE724BA"/>
    <w:rsid w:val="1EFF6434"/>
    <w:rsid w:val="1F043EDE"/>
    <w:rsid w:val="1F311F17"/>
    <w:rsid w:val="1F3A0011"/>
    <w:rsid w:val="1F3A5F92"/>
    <w:rsid w:val="1F4E3857"/>
    <w:rsid w:val="1F701095"/>
    <w:rsid w:val="1F896311"/>
    <w:rsid w:val="1F923DE6"/>
    <w:rsid w:val="1FA42D75"/>
    <w:rsid w:val="1FA610B9"/>
    <w:rsid w:val="1FD024AA"/>
    <w:rsid w:val="1FDC54C4"/>
    <w:rsid w:val="1FEE4C5C"/>
    <w:rsid w:val="1FF012A4"/>
    <w:rsid w:val="1FF23EC9"/>
    <w:rsid w:val="20040834"/>
    <w:rsid w:val="20190666"/>
    <w:rsid w:val="202C1885"/>
    <w:rsid w:val="203B574B"/>
    <w:rsid w:val="20481C9A"/>
    <w:rsid w:val="204A7C68"/>
    <w:rsid w:val="2053493C"/>
    <w:rsid w:val="205E4038"/>
    <w:rsid w:val="2075093F"/>
    <w:rsid w:val="20786BA2"/>
    <w:rsid w:val="207F447D"/>
    <w:rsid w:val="20884263"/>
    <w:rsid w:val="20987EE3"/>
    <w:rsid w:val="209D6390"/>
    <w:rsid w:val="20A160B2"/>
    <w:rsid w:val="20D105CB"/>
    <w:rsid w:val="20D16460"/>
    <w:rsid w:val="20DD7F39"/>
    <w:rsid w:val="20E24774"/>
    <w:rsid w:val="20F25221"/>
    <w:rsid w:val="21145BE0"/>
    <w:rsid w:val="2128786B"/>
    <w:rsid w:val="21440678"/>
    <w:rsid w:val="216365D8"/>
    <w:rsid w:val="2165140C"/>
    <w:rsid w:val="21691F88"/>
    <w:rsid w:val="2187182E"/>
    <w:rsid w:val="218A070F"/>
    <w:rsid w:val="21957939"/>
    <w:rsid w:val="21C1624C"/>
    <w:rsid w:val="21E26EA0"/>
    <w:rsid w:val="21F34D45"/>
    <w:rsid w:val="21F950CF"/>
    <w:rsid w:val="22045432"/>
    <w:rsid w:val="222A3C9E"/>
    <w:rsid w:val="22363C23"/>
    <w:rsid w:val="22396FF8"/>
    <w:rsid w:val="22431035"/>
    <w:rsid w:val="2257647E"/>
    <w:rsid w:val="225C0846"/>
    <w:rsid w:val="22B0252A"/>
    <w:rsid w:val="22D75BB2"/>
    <w:rsid w:val="22E819D8"/>
    <w:rsid w:val="22F57E73"/>
    <w:rsid w:val="231523F7"/>
    <w:rsid w:val="232C74A7"/>
    <w:rsid w:val="234B605E"/>
    <w:rsid w:val="235133E3"/>
    <w:rsid w:val="23531D85"/>
    <w:rsid w:val="23560A29"/>
    <w:rsid w:val="235F59AB"/>
    <w:rsid w:val="238A4219"/>
    <w:rsid w:val="239051E5"/>
    <w:rsid w:val="23924A0F"/>
    <w:rsid w:val="23987B60"/>
    <w:rsid w:val="239D13E8"/>
    <w:rsid w:val="239F6D5D"/>
    <w:rsid w:val="239F7F68"/>
    <w:rsid w:val="23D158BA"/>
    <w:rsid w:val="23ED0F94"/>
    <w:rsid w:val="23FC3011"/>
    <w:rsid w:val="240D18BD"/>
    <w:rsid w:val="246E404E"/>
    <w:rsid w:val="247A3812"/>
    <w:rsid w:val="247F538E"/>
    <w:rsid w:val="248114CC"/>
    <w:rsid w:val="24A3249E"/>
    <w:rsid w:val="24A6076C"/>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C25048"/>
    <w:rsid w:val="25D1716B"/>
    <w:rsid w:val="25D21AFE"/>
    <w:rsid w:val="25DF6A97"/>
    <w:rsid w:val="25E6024A"/>
    <w:rsid w:val="25EA0F86"/>
    <w:rsid w:val="26212585"/>
    <w:rsid w:val="26282ED7"/>
    <w:rsid w:val="265B6DE8"/>
    <w:rsid w:val="265F04C1"/>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E916BA"/>
    <w:rsid w:val="27F10483"/>
    <w:rsid w:val="27FD55EF"/>
    <w:rsid w:val="28022D32"/>
    <w:rsid w:val="28153567"/>
    <w:rsid w:val="28594A6E"/>
    <w:rsid w:val="286565B5"/>
    <w:rsid w:val="286B5520"/>
    <w:rsid w:val="287D3F8A"/>
    <w:rsid w:val="28826BBC"/>
    <w:rsid w:val="28870747"/>
    <w:rsid w:val="288E5631"/>
    <w:rsid w:val="28C32DF1"/>
    <w:rsid w:val="28C534E8"/>
    <w:rsid w:val="28D02103"/>
    <w:rsid w:val="28FA38CA"/>
    <w:rsid w:val="29095837"/>
    <w:rsid w:val="293734A8"/>
    <w:rsid w:val="294E0AA4"/>
    <w:rsid w:val="29661104"/>
    <w:rsid w:val="296735A6"/>
    <w:rsid w:val="296D7E15"/>
    <w:rsid w:val="29962D19"/>
    <w:rsid w:val="299F6005"/>
    <w:rsid w:val="29AD3BB2"/>
    <w:rsid w:val="29B4309C"/>
    <w:rsid w:val="29C30BAC"/>
    <w:rsid w:val="29CD7458"/>
    <w:rsid w:val="29D9048F"/>
    <w:rsid w:val="29EF70CC"/>
    <w:rsid w:val="2A1C62F4"/>
    <w:rsid w:val="2A5F0A9A"/>
    <w:rsid w:val="2A802A87"/>
    <w:rsid w:val="2A931BB9"/>
    <w:rsid w:val="2A9D346A"/>
    <w:rsid w:val="2AB51A38"/>
    <w:rsid w:val="2AB903D8"/>
    <w:rsid w:val="2ACD6CCC"/>
    <w:rsid w:val="2ADF720A"/>
    <w:rsid w:val="2AEE4512"/>
    <w:rsid w:val="2B341240"/>
    <w:rsid w:val="2B34584A"/>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0E47C3"/>
    <w:rsid w:val="2D11170D"/>
    <w:rsid w:val="2D13298D"/>
    <w:rsid w:val="2D221D5D"/>
    <w:rsid w:val="2D2A0414"/>
    <w:rsid w:val="2D383726"/>
    <w:rsid w:val="2D386439"/>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5E2F0C"/>
    <w:rsid w:val="2E6A7B7E"/>
    <w:rsid w:val="2E720143"/>
    <w:rsid w:val="2E852BFA"/>
    <w:rsid w:val="2EB72D84"/>
    <w:rsid w:val="2EBA6C0C"/>
    <w:rsid w:val="2EE359E2"/>
    <w:rsid w:val="2EEC1574"/>
    <w:rsid w:val="2F1B43C7"/>
    <w:rsid w:val="2F5604CA"/>
    <w:rsid w:val="2F592F8F"/>
    <w:rsid w:val="2FA36E63"/>
    <w:rsid w:val="2FAD0DC5"/>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AD5AEA"/>
    <w:rsid w:val="32C3640C"/>
    <w:rsid w:val="32C47E69"/>
    <w:rsid w:val="32DF4B9C"/>
    <w:rsid w:val="32E11A2B"/>
    <w:rsid w:val="32EE5E66"/>
    <w:rsid w:val="32F707FF"/>
    <w:rsid w:val="32FE7982"/>
    <w:rsid w:val="330D52B8"/>
    <w:rsid w:val="331423DB"/>
    <w:rsid w:val="331E1C54"/>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8C36E4"/>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516BB3"/>
    <w:rsid w:val="366D3CBC"/>
    <w:rsid w:val="36750E50"/>
    <w:rsid w:val="36776EAA"/>
    <w:rsid w:val="367C01BA"/>
    <w:rsid w:val="36B77EB7"/>
    <w:rsid w:val="36DE7BD3"/>
    <w:rsid w:val="37592FE4"/>
    <w:rsid w:val="375E20CF"/>
    <w:rsid w:val="377336AC"/>
    <w:rsid w:val="377F502A"/>
    <w:rsid w:val="37804449"/>
    <w:rsid w:val="378A028C"/>
    <w:rsid w:val="37BC42C1"/>
    <w:rsid w:val="37CA1388"/>
    <w:rsid w:val="37CC6ED3"/>
    <w:rsid w:val="37F94643"/>
    <w:rsid w:val="37FB24F6"/>
    <w:rsid w:val="3806724C"/>
    <w:rsid w:val="38292EF5"/>
    <w:rsid w:val="38305180"/>
    <w:rsid w:val="383B2625"/>
    <w:rsid w:val="3850158A"/>
    <w:rsid w:val="385C1B7F"/>
    <w:rsid w:val="38610D05"/>
    <w:rsid w:val="388F49F5"/>
    <w:rsid w:val="38AB3C78"/>
    <w:rsid w:val="38FA192C"/>
    <w:rsid w:val="38FB4BD9"/>
    <w:rsid w:val="39076C11"/>
    <w:rsid w:val="391F2580"/>
    <w:rsid w:val="39221703"/>
    <w:rsid w:val="39283EEC"/>
    <w:rsid w:val="392D67AC"/>
    <w:rsid w:val="3930488C"/>
    <w:rsid w:val="39401394"/>
    <w:rsid w:val="3949055E"/>
    <w:rsid w:val="39623434"/>
    <w:rsid w:val="3968060E"/>
    <w:rsid w:val="398473E8"/>
    <w:rsid w:val="39A644DA"/>
    <w:rsid w:val="39C531C8"/>
    <w:rsid w:val="39E23259"/>
    <w:rsid w:val="39EA289E"/>
    <w:rsid w:val="3A0B2C87"/>
    <w:rsid w:val="3A0E4E62"/>
    <w:rsid w:val="3A0F0F43"/>
    <w:rsid w:val="3A114F3A"/>
    <w:rsid w:val="3A2140D2"/>
    <w:rsid w:val="3A380799"/>
    <w:rsid w:val="3A476B5E"/>
    <w:rsid w:val="3A4B0E8F"/>
    <w:rsid w:val="3A711825"/>
    <w:rsid w:val="3A931991"/>
    <w:rsid w:val="3AA82CF8"/>
    <w:rsid w:val="3AAC5B36"/>
    <w:rsid w:val="3AD06974"/>
    <w:rsid w:val="3ADA42A0"/>
    <w:rsid w:val="3AED2DDA"/>
    <w:rsid w:val="3AF1226A"/>
    <w:rsid w:val="3AF21E9B"/>
    <w:rsid w:val="3B072598"/>
    <w:rsid w:val="3B0A7A50"/>
    <w:rsid w:val="3B105BA8"/>
    <w:rsid w:val="3B2414E4"/>
    <w:rsid w:val="3B277374"/>
    <w:rsid w:val="3B344321"/>
    <w:rsid w:val="3B3500CB"/>
    <w:rsid w:val="3B4F35F9"/>
    <w:rsid w:val="3B50783E"/>
    <w:rsid w:val="3B586C4D"/>
    <w:rsid w:val="3B6A281B"/>
    <w:rsid w:val="3B896874"/>
    <w:rsid w:val="3B9D4373"/>
    <w:rsid w:val="3BA92EC6"/>
    <w:rsid w:val="3BB663C6"/>
    <w:rsid w:val="3BB94D10"/>
    <w:rsid w:val="3BDE416C"/>
    <w:rsid w:val="3BE43B4B"/>
    <w:rsid w:val="3BE70BEC"/>
    <w:rsid w:val="3BFF5F92"/>
    <w:rsid w:val="3C0435A9"/>
    <w:rsid w:val="3C3158BF"/>
    <w:rsid w:val="3C512C6A"/>
    <w:rsid w:val="3C5E6096"/>
    <w:rsid w:val="3C6B63F3"/>
    <w:rsid w:val="3C6D0AA3"/>
    <w:rsid w:val="3C7D446D"/>
    <w:rsid w:val="3C8805E4"/>
    <w:rsid w:val="3C903856"/>
    <w:rsid w:val="3CB05E10"/>
    <w:rsid w:val="3CBF3D07"/>
    <w:rsid w:val="3CD662DF"/>
    <w:rsid w:val="3CE90D4D"/>
    <w:rsid w:val="3CEC5BD9"/>
    <w:rsid w:val="3D0A2A8A"/>
    <w:rsid w:val="3D0D553D"/>
    <w:rsid w:val="3D12272E"/>
    <w:rsid w:val="3D321FA1"/>
    <w:rsid w:val="3D5C306C"/>
    <w:rsid w:val="3D6A3EE4"/>
    <w:rsid w:val="3D6E15B5"/>
    <w:rsid w:val="3D863C75"/>
    <w:rsid w:val="3D8762BD"/>
    <w:rsid w:val="3D941FD0"/>
    <w:rsid w:val="3DA75BB4"/>
    <w:rsid w:val="3DB73788"/>
    <w:rsid w:val="3DBE7888"/>
    <w:rsid w:val="3DC72FAC"/>
    <w:rsid w:val="3DD4640D"/>
    <w:rsid w:val="3DE76CDF"/>
    <w:rsid w:val="3E00648E"/>
    <w:rsid w:val="3E097ED6"/>
    <w:rsid w:val="3E0F619F"/>
    <w:rsid w:val="3E2C07D2"/>
    <w:rsid w:val="3E342B9E"/>
    <w:rsid w:val="3E4B1EC4"/>
    <w:rsid w:val="3E4C5C7B"/>
    <w:rsid w:val="3E4F06BE"/>
    <w:rsid w:val="3E60232E"/>
    <w:rsid w:val="3E6966CC"/>
    <w:rsid w:val="3E6F6349"/>
    <w:rsid w:val="3E7001DF"/>
    <w:rsid w:val="3E815E9D"/>
    <w:rsid w:val="3E8F04CD"/>
    <w:rsid w:val="3E931018"/>
    <w:rsid w:val="3EA37326"/>
    <w:rsid w:val="3EA4334C"/>
    <w:rsid w:val="3EC21710"/>
    <w:rsid w:val="3ED07B39"/>
    <w:rsid w:val="3ED75A5B"/>
    <w:rsid w:val="3EEE4BA8"/>
    <w:rsid w:val="3F227ECC"/>
    <w:rsid w:val="3F2A1510"/>
    <w:rsid w:val="3F323523"/>
    <w:rsid w:val="3F577277"/>
    <w:rsid w:val="3F59407A"/>
    <w:rsid w:val="3F963935"/>
    <w:rsid w:val="3F9D3EDE"/>
    <w:rsid w:val="3FBD7ADB"/>
    <w:rsid w:val="3FC534BA"/>
    <w:rsid w:val="3FED10C4"/>
    <w:rsid w:val="3FFD69BE"/>
    <w:rsid w:val="400E5371"/>
    <w:rsid w:val="40115E5D"/>
    <w:rsid w:val="40142B28"/>
    <w:rsid w:val="402551CC"/>
    <w:rsid w:val="404C0EDB"/>
    <w:rsid w:val="405A7340"/>
    <w:rsid w:val="406563D6"/>
    <w:rsid w:val="406B7B27"/>
    <w:rsid w:val="408563A3"/>
    <w:rsid w:val="40A1164F"/>
    <w:rsid w:val="40AD7C5B"/>
    <w:rsid w:val="40CD5F0B"/>
    <w:rsid w:val="40DD4729"/>
    <w:rsid w:val="40EB7E0B"/>
    <w:rsid w:val="40F1349D"/>
    <w:rsid w:val="411E2BE4"/>
    <w:rsid w:val="4136428A"/>
    <w:rsid w:val="413A144A"/>
    <w:rsid w:val="41694287"/>
    <w:rsid w:val="416948A9"/>
    <w:rsid w:val="416B194D"/>
    <w:rsid w:val="41BE3E52"/>
    <w:rsid w:val="41C36A02"/>
    <w:rsid w:val="41D8445C"/>
    <w:rsid w:val="41F85D27"/>
    <w:rsid w:val="41F93C0D"/>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25B7F"/>
    <w:rsid w:val="439E00F9"/>
    <w:rsid w:val="43B24CCF"/>
    <w:rsid w:val="43B43752"/>
    <w:rsid w:val="43D14618"/>
    <w:rsid w:val="43E63027"/>
    <w:rsid w:val="43F669C3"/>
    <w:rsid w:val="44052537"/>
    <w:rsid w:val="44205D19"/>
    <w:rsid w:val="442C10DA"/>
    <w:rsid w:val="44314B0E"/>
    <w:rsid w:val="446B48FC"/>
    <w:rsid w:val="44785AEE"/>
    <w:rsid w:val="44843CC9"/>
    <w:rsid w:val="44880967"/>
    <w:rsid w:val="44A01A4B"/>
    <w:rsid w:val="44B673AA"/>
    <w:rsid w:val="44D26E80"/>
    <w:rsid w:val="44DB773A"/>
    <w:rsid w:val="44E36D88"/>
    <w:rsid w:val="44F14784"/>
    <w:rsid w:val="44F53767"/>
    <w:rsid w:val="450039C1"/>
    <w:rsid w:val="451A32B1"/>
    <w:rsid w:val="451E341B"/>
    <w:rsid w:val="452D6C34"/>
    <w:rsid w:val="454D00BA"/>
    <w:rsid w:val="456951DA"/>
    <w:rsid w:val="45973AD6"/>
    <w:rsid w:val="45A52B1C"/>
    <w:rsid w:val="45AC4CF4"/>
    <w:rsid w:val="45AD524F"/>
    <w:rsid w:val="45AE36B8"/>
    <w:rsid w:val="45CF7FBC"/>
    <w:rsid w:val="45DB635E"/>
    <w:rsid w:val="45F35C5E"/>
    <w:rsid w:val="46192BB4"/>
    <w:rsid w:val="46400CA9"/>
    <w:rsid w:val="46406C53"/>
    <w:rsid w:val="465A4FCD"/>
    <w:rsid w:val="465B230D"/>
    <w:rsid w:val="4662285A"/>
    <w:rsid w:val="467208A3"/>
    <w:rsid w:val="46810023"/>
    <w:rsid w:val="468354F8"/>
    <w:rsid w:val="46836109"/>
    <w:rsid w:val="468B0189"/>
    <w:rsid w:val="46995FD1"/>
    <w:rsid w:val="46A179C8"/>
    <w:rsid w:val="46B06667"/>
    <w:rsid w:val="46C35907"/>
    <w:rsid w:val="47032B85"/>
    <w:rsid w:val="47111705"/>
    <w:rsid w:val="4719625B"/>
    <w:rsid w:val="47251050"/>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1E4843"/>
    <w:rsid w:val="493B491E"/>
    <w:rsid w:val="494305AE"/>
    <w:rsid w:val="49550F29"/>
    <w:rsid w:val="498E5DDA"/>
    <w:rsid w:val="499A319C"/>
    <w:rsid w:val="49A75100"/>
    <w:rsid w:val="49B6483C"/>
    <w:rsid w:val="49B66680"/>
    <w:rsid w:val="49C75CA3"/>
    <w:rsid w:val="49D145CB"/>
    <w:rsid w:val="49E56673"/>
    <w:rsid w:val="49E801F7"/>
    <w:rsid w:val="4A0F6E1A"/>
    <w:rsid w:val="4A125A83"/>
    <w:rsid w:val="4A171DB0"/>
    <w:rsid w:val="4A2057D8"/>
    <w:rsid w:val="4A284B3F"/>
    <w:rsid w:val="4A5A35C4"/>
    <w:rsid w:val="4A6F2547"/>
    <w:rsid w:val="4A861680"/>
    <w:rsid w:val="4A8764D3"/>
    <w:rsid w:val="4A980B3E"/>
    <w:rsid w:val="4AC77F8B"/>
    <w:rsid w:val="4AD74EF4"/>
    <w:rsid w:val="4AED5C11"/>
    <w:rsid w:val="4AFF253A"/>
    <w:rsid w:val="4B096721"/>
    <w:rsid w:val="4B151DD8"/>
    <w:rsid w:val="4B2F5A69"/>
    <w:rsid w:val="4B600DBB"/>
    <w:rsid w:val="4B740186"/>
    <w:rsid w:val="4B7467CA"/>
    <w:rsid w:val="4B7A2CD7"/>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0D7D47"/>
    <w:rsid w:val="4D1A6222"/>
    <w:rsid w:val="4D2B1C5F"/>
    <w:rsid w:val="4D2E64BA"/>
    <w:rsid w:val="4D30066A"/>
    <w:rsid w:val="4D316971"/>
    <w:rsid w:val="4D423028"/>
    <w:rsid w:val="4D581632"/>
    <w:rsid w:val="4D692C32"/>
    <w:rsid w:val="4D6E3CCE"/>
    <w:rsid w:val="4D7901E4"/>
    <w:rsid w:val="4D805757"/>
    <w:rsid w:val="4DCB0227"/>
    <w:rsid w:val="4DCF155E"/>
    <w:rsid w:val="4DD11AEE"/>
    <w:rsid w:val="4DE22B61"/>
    <w:rsid w:val="4E071018"/>
    <w:rsid w:val="4E1E35A8"/>
    <w:rsid w:val="4E4A36DE"/>
    <w:rsid w:val="4E4B1237"/>
    <w:rsid w:val="4E5D3FF0"/>
    <w:rsid w:val="4E685D9D"/>
    <w:rsid w:val="4E997F39"/>
    <w:rsid w:val="4EA21170"/>
    <w:rsid w:val="4EA45038"/>
    <w:rsid w:val="4EA535EA"/>
    <w:rsid w:val="4EAA452F"/>
    <w:rsid w:val="4EAB7555"/>
    <w:rsid w:val="4EB16F4D"/>
    <w:rsid w:val="4ED37A9C"/>
    <w:rsid w:val="4EDE0A69"/>
    <w:rsid w:val="4EF438A7"/>
    <w:rsid w:val="4EF74679"/>
    <w:rsid w:val="4F053AD4"/>
    <w:rsid w:val="4F1C4754"/>
    <w:rsid w:val="4F4F7C97"/>
    <w:rsid w:val="4F586DFE"/>
    <w:rsid w:val="4F7F3425"/>
    <w:rsid w:val="4F890EBD"/>
    <w:rsid w:val="4F8D01E1"/>
    <w:rsid w:val="4F8F4094"/>
    <w:rsid w:val="4F951D60"/>
    <w:rsid w:val="4FAB27E4"/>
    <w:rsid w:val="4FAD4336"/>
    <w:rsid w:val="4FEA66FB"/>
    <w:rsid w:val="4FEF31B4"/>
    <w:rsid w:val="50000326"/>
    <w:rsid w:val="5012456C"/>
    <w:rsid w:val="501B0160"/>
    <w:rsid w:val="5028413A"/>
    <w:rsid w:val="5034185C"/>
    <w:rsid w:val="50662285"/>
    <w:rsid w:val="50935D58"/>
    <w:rsid w:val="509473B7"/>
    <w:rsid w:val="50B95132"/>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605BB"/>
    <w:rsid w:val="52171AFB"/>
    <w:rsid w:val="522D4979"/>
    <w:rsid w:val="523456B6"/>
    <w:rsid w:val="5235465D"/>
    <w:rsid w:val="52367473"/>
    <w:rsid w:val="523E15D7"/>
    <w:rsid w:val="5249313E"/>
    <w:rsid w:val="52527419"/>
    <w:rsid w:val="525A4669"/>
    <w:rsid w:val="525B22C4"/>
    <w:rsid w:val="526018C0"/>
    <w:rsid w:val="52841F28"/>
    <w:rsid w:val="528A52FD"/>
    <w:rsid w:val="52AD06F5"/>
    <w:rsid w:val="52BE0F28"/>
    <w:rsid w:val="52D32108"/>
    <w:rsid w:val="52D6356D"/>
    <w:rsid w:val="52F77D67"/>
    <w:rsid w:val="52F836E3"/>
    <w:rsid w:val="531F28F6"/>
    <w:rsid w:val="532F7394"/>
    <w:rsid w:val="53385FAE"/>
    <w:rsid w:val="534E489F"/>
    <w:rsid w:val="536E730E"/>
    <w:rsid w:val="537C2BD7"/>
    <w:rsid w:val="53971E29"/>
    <w:rsid w:val="53A35F99"/>
    <w:rsid w:val="53E6334F"/>
    <w:rsid w:val="53FB17FA"/>
    <w:rsid w:val="54163DAD"/>
    <w:rsid w:val="541862F0"/>
    <w:rsid w:val="541944B4"/>
    <w:rsid w:val="546A6559"/>
    <w:rsid w:val="546F0B91"/>
    <w:rsid w:val="54777ABA"/>
    <w:rsid w:val="54AE33C2"/>
    <w:rsid w:val="54B70A61"/>
    <w:rsid w:val="54B779B5"/>
    <w:rsid w:val="54D25371"/>
    <w:rsid w:val="54EA3421"/>
    <w:rsid w:val="54EC1FC6"/>
    <w:rsid w:val="54EC416F"/>
    <w:rsid w:val="552227BC"/>
    <w:rsid w:val="552C68B9"/>
    <w:rsid w:val="55335647"/>
    <w:rsid w:val="5538682D"/>
    <w:rsid w:val="55476094"/>
    <w:rsid w:val="554A06ED"/>
    <w:rsid w:val="5552614F"/>
    <w:rsid w:val="55530973"/>
    <w:rsid w:val="55560E04"/>
    <w:rsid w:val="55666B45"/>
    <w:rsid w:val="55722092"/>
    <w:rsid w:val="557E3E53"/>
    <w:rsid w:val="5583167D"/>
    <w:rsid w:val="55995FB7"/>
    <w:rsid w:val="55A156DD"/>
    <w:rsid w:val="55B13035"/>
    <w:rsid w:val="55BD15CA"/>
    <w:rsid w:val="55BD571B"/>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95860"/>
    <w:rsid w:val="56BB5794"/>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3287F"/>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D5467A"/>
    <w:rsid w:val="58DC744B"/>
    <w:rsid w:val="58F609E4"/>
    <w:rsid w:val="58FB67BC"/>
    <w:rsid w:val="5930657D"/>
    <w:rsid w:val="59327DEB"/>
    <w:rsid w:val="59392E42"/>
    <w:rsid w:val="593B5B55"/>
    <w:rsid w:val="593D19BE"/>
    <w:rsid w:val="597D137C"/>
    <w:rsid w:val="599D01FE"/>
    <w:rsid w:val="59AA3ADD"/>
    <w:rsid w:val="59AF4353"/>
    <w:rsid w:val="59CB134C"/>
    <w:rsid w:val="59D13042"/>
    <w:rsid w:val="59EA652F"/>
    <w:rsid w:val="5A3F6176"/>
    <w:rsid w:val="5A5419CE"/>
    <w:rsid w:val="5A587AE0"/>
    <w:rsid w:val="5A5A38F1"/>
    <w:rsid w:val="5A617BFA"/>
    <w:rsid w:val="5A7629B7"/>
    <w:rsid w:val="5A83298E"/>
    <w:rsid w:val="5A84337E"/>
    <w:rsid w:val="5A891BB6"/>
    <w:rsid w:val="5A8D03AD"/>
    <w:rsid w:val="5AA34E07"/>
    <w:rsid w:val="5AD937F3"/>
    <w:rsid w:val="5ADB5FCA"/>
    <w:rsid w:val="5AE30663"/>
    <w:rsid w:val="5AE36AFC"/>
    <w:rsid w:val="5AE47198"/>
    <w:rsid w:val="5AEF3CA7"/>
    <w:rsid w:val="5AF16F61"/>
    <w:rsid w:val="5AFB0199"/>
    <w:rsid w:val="5B0001EA"/>
    <w:rsid w:val="5B2D4307"/>
    <w:rsid w:val="5B5041D6"/>
    <w:rsid w:val="5B554FD4"/>
    <w:rsid w:val="5B6B25D0"/>
    <w:rsid w:val="5B6B4549"/>
    <w:rsid w:val="5BAD031C"/>
    <w:rsid w:val="5BB36D0A"/>
    <w:rsid w:val="5BD03C5A"/>
    <w:rsid w:val="5BD33975"/>
    <w:rsid w:val="5BDA3BB3"/>
    <w:rsid w:val="5BDA775F"/>
    <w:rsid w:val="5BEA7806"/>
    <w:rsid w:val="5BED1355"/>
    <w:rsid w:val="5C035D5C"/>
    <w:rsid w:val="5C054372"/>
    <w:rsid w:val="5C0B1081"/>
    <w:rsid w:val="5C2E76F3"/>
    <w:rsid w:val="5C531DAC"/>
    <w:rsid w:val="5C5F19A2"/>
    <w:rsid w:val="5C6742FC"/>
    <w:rsid w:val="5C7870C9"/>
    <w:rsid w:val="5C793AF2"/>
    <w:rsid w:val="5C7E008D"/>
    <w:rsid w:val="5C885120"/>
    <w:rsid w:val="5C8D094F"/>
    <w:rsid w:val="5CAA3CDC"/>
    <w:rsid w:val="5CC14996"/>
    <w:rsid w:val="5CDB13F1"/>
    <w:rsid w:val="5CE42BFC"/>
    <w:rsid w:val="5CF816B2"/>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7B48D1"/>
    <w:rsid w:val="5F882D2B"/>
    <w:rsid w:val="5FD025CB"/>
    <w:rsid w:val="5FD41E39"/>
    <w:rsid w:val="5FD57769"/>
    <w:rsid w:val="5FDC496F"/>
    <w:rsid w:val="5FE211EB"/>
    <w:rsid w:val="5FEA0E05"/>
    <w:rsid w:val="5FEA1BFF"/>
    <w:rsid w:val="5FFA2F3B"/>
    <w:rsid w:val="60006A8C"/>
    <w:rsid w:val="60053545"/>
    <w:rsid w:val="60070501"/>
    <w:rsid w:val="600D47EB"/>
    <w:rsid w:val="60240F4A"/>
    <w:rsid w:val="602A2F0C"/>
    <w:rsid w:val="602F3018"/>
    <w:rsid w:val="605E48C7"/>
    <w:rsid w:val="606A7181"/>
    <w:rsid w:val="608D0DC2"/>
    <w:rsid w:val="60A14A7F"/>
    <w:rsid w:val="60C37E4F"/>
    <w:rsid w:val="60CF4513"/>
    <w:rsid w:val="60D87E5D"/>
    <w:rsid w:val="60F668B8"/>
    <w:rsid w:val="60FC46B7"/>
    <w:rsid w:val="61002168"/>
    <w:rsid w:val="61172DD5"/>
    <w:rsid w:val="6138206E"/>
    <w:rsid w:val="614D3C7D"/>
    <w:rsid w:val="61622A1E"/>
    <w:rsid w:val="616270EF"/>
    <w:rsid w:val="61642064"/>
    <w:rsid w:val="61706EDF"/>
    <w:rsid w:val="61946353"/>
    <w:rsid w:val="619B1498"/>
    <w:rsid w:val="619B3BCB"/>
    <w:rsid w:val="61C5760F"/>
    <w:rsid w:val="61CB09F2"/>
    <w:rsid w:val="61CD1707"/>
    <w:rsid w:val="61F34165"/>
    <w:rsid w:val="62023DEA"/>
    <w:rsid w:val="62053AEE"/>
    <w:rsid w:val="62426D4A"/>
    <w:rsid w:val="62842199"/>
    <w:rsid w:val="62904A5E"/>
    <w:rsid w:val="62B6346C"/>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948C4"/>
    <w:rsid w:val="63CC75B9"/>
    <w:rsid w:val="63E126B1"/>
    <w:rsid w:val="63E30C41"/>
    <w:rsid w:val="63FE1629"/>
    <w:rsid w:val="640673D9"/>
    <w:rsid w:val="641E6EE2"/>
    <w:rsid w:val="64275148"/>
    <w:rsid w:val="64326B19"/>
    <w:rsid w:val="645214CF"/>
    <w:rsid w:val="64820F2D"/>
    <w:rsid w:val="6487530B"/>
    <w:rsid w:val="64BA39D7"/>
    <w:rsid w:val="64CF3CAA"/>
    <w:rsid w:val="64D96235"/>
    <w:rsid w:val="650F5FAC"/>
    <w:rsid w:val="652D2807"/>
    <w:rsid w:val="656033A2"/>
    <w:rsid w:val="65815AA0"/>
    <w:rsid w:val="658855D4"/>
    <w:rsid w:val="658867B3"/>
    <w:rsid w:val="659B42A0"/>
    <w:rsid w:val="65A8095A"/>
    <w:rsid w:val="65F1238A"/>
    <w:rsid w:val="65F35604"/>
    <w:rsid w:val="65FF3198"/>
    <w:rsid w:val="663B062F"/>
    <w:rsid w:val="663E4EF3"/>
    <w:rsid w:val="66471F83"/>
    <w:rsid w:val="665A01D2"/>
    <w:rsid w:val="6688533A"/>
    <w:rsid w:val="66BB442F"/>
    <w:rsid w:val="66D02521"/>
    <w:rsid w:val="67097AAB"/>
    <w:rsid w:val="670C3488"/>
    <w:rsid w:val="672E09CF"/>
    <w:rsid w:val="67365DB5"/>
    <w:rsid w:val="677507BF"/>
    <w:rsid w:val="6792126C"/>
    <w:rsid w:val="67A97CFB"/>
    <w:rsid w:val="67CF5A1D"/>
    <w:rsid w:val="67DA135C"/>
    <w:rsid w:val="67EB7F24"/>
    <w:rsid w:val="67EC006A"/>
    <w:rsid w:val="680328B7"/>
    <w:rsid w:val="680D5EE5"/>
    <w:rsid w:val="68107593"/>
    <w:rsid w:val="683C6F18"/>
    <w:rsid w:val="684D1BE5"/>
    <w:rsid w:val="68651677"/>
    <w:rsid w:val="686F261C"/>
    <w:rsid w:val="687E3602"/>
    <w:rsid w:val="688F77C3"/>
    <w:rsid w:val="68A9751A"/>
    <w:rsid w:val="68AC366C"/>
    <w:rsid w:val="68B329E9"/>
    <w:rsid w:val="69030906"/>
    <w:rsid w:val="692C4F44"/>
    <w:rsid w:val="69326C25"/>
    <w:rsid w:val="697D4944"/>
    <w:rsid w:val="697E2DEE"/>
    <w:rsid w:val="699B3DF9"/>
    <w:rsid w:val="69E1523E"/>
    <w:rsid w:val="6A377133"/>
    <w:rsid w:val="6A3802AF"/>
    <w:rsid w:val="6A382142"/>
    <w:rsid w:val="6A3E6B57"/>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F75D9"/>
    <w:rsid w:val="6B7753BB"/>
    <w:rsid w:val="6B7A6C48"/>
    <w:rsid w:val="6B8223B8"/>
    <w:rsid w:val="6BA303EE"/>
    <w:rsid w:val="6BAB7A9B"/>
    <w:rsid w:val="6BCA3451"/>
    <w:rsid w:val="6BD57A1A"/>
    <w:rsid w:val="6BE52340"/>
    <w:rsid w:val="6BEA317F"/>
    <w:rsid w:val="6C077B7C"/>
    <w:rsid w:val="6C535BAC"/>
    <w:rsid w:val="6C89469E"/>
    <w:rsid w:val="6C93673A"/>
    <w:rsid w:val="6C9559EA"/>
    <w:rsid w:val="6C991B9A"/>
    <w:rsid w:val="6CBB305B"/>
    <w:rsid w:val="6CC206BF"/>
    <w:rsid w:val="6CC30C66"/>
    <w:rsid w:val="6CCF138F"/>
    <w:rsid w:val="6CDD0CB1"/>
    <w:rsid w:val="6CE419F3"/>
    <w:rsid w:val="6CE93DEC"/>
    <w:rsid w:val="6D225A73"/>
    <w:rsid w:val="6D4B705D"/>
    <w:rsid w:val="6D687584"/>
    <w:rsid w:val="6D711A3E"/>
    <w:rsid w:val="6D8D0D90"/>
    <w:rsid w:val="6D96046C"/>
    <w:rsid w:val="6DC91D5B"/>
    <w:rsid w:val="6DD50561"/>
    <w:rsid w:val="6DD95830"/>
    <w:rsid w:val="6DEC3B7C"/>
    <w:rsid w:val="6DF021A3"/>
    <w:rsid w:val="6E124286"/>
    <w:rsid w:val="6E134309"/>
    <w:rsid w:val="6E1A1F69"/>
    <w:rsid w:val="6E3B5323"/>
    <w:rsid w:val="6E4F38F8"/>
    <w:rsid w:val="6E657BB2"/>
    <w:rsid w:val="6E793023"/>
    <w:rsid w:val="6E7F7AFB"/>
    <w:rsid w:val="6EB770BA"/>
    <w:rsid w:val="6EB96505"/>
    <w:rsid w:val="6ED43ACF"/>
    <w:rsid w:val="6EDF1CCE"/>
    <w:rsid w:val="6EEA71F0"/>
    <w:rsid w:val="6EEC600B"/>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A4129"/>
    <w:rsid w:val="7071176F"/>
    <w:rsid w:val="70747A02"/>
    <w:rsid w:val="7076111A"/>
    <w:rsid w:val="70B73E00"/>
    <w:rsid w:val="70F2796B"/>
    <w:rsid w:val="710F1765"/>
    <w:rsid w:val="71102404"/>
    <w:rsid w:val="711A1C30"/>
    <w:rsid w:val="711D088F"/>
    <w:rsid w:val="711E6ABB"/>
    <w:rsid w:val="71230870"/>
    <w:rsid w:val="71400456"/>
    <w:rsid w:val="714C2EBE"/>
    <w:rsid w:val="71611C06"/>
    <w:rsid w:val="71636191"/>
    <w:rsid w:val="71686453"/>
    <w:rsid w:val="716F74C0"/>
    <w:rsid w:val="71A976A3"/>
    <w:rsid w:val="71B83D73"/>
    <w:rsid w:val="71C94377"/>
    <w:rsid w:val="71D6274F"/>
    <w:rsid w:val="72033A39"/>
    <w:rsid w:val="724D120A"/>
    <w:rsid w:val="726E4C9E"/>
    <w:rsid w:val="7289516B"/>
    <w:rsid w:val="729310B6"/>
    <w:rsid w:val="72CD0489"/>
    <w:rsid w:val="72DB349B"/>
    <w:rsid w:val="72E10CF1"/>
    <w:rsid w:val="72E16E78"/>
    <w:rsid w:val="72EA15F7"/>
    <w:rsid w:val="73062CBE"/>
    <w:rsid w:val="73297EB2"/>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5340F"/>
    <w:rsid w:val="755F4608"/>
    <w:rsid w:val="7564660F"/>
    <w:rsid w:val="7571106C"/>
    <w:rsid w:val="757918F4"/>
    <w:rsid w:val="75886342"/>
    <w:rsid w:val="758A779D"/>
    <w:rsid w:val="758E7458"/>
    <w:rsid w:val="75B9274E"/>
    <w:rsid w:val="75F83FB4"/>
    <w:rsid w:val="75F9318E"/>
    <w:rsid w:val="75FC2E47"/>
    <w:rsid w:val="760E47B2"/>
    <w:rsid w:val="76631090"/>
    <w:rsid w:val="76703988"/>
    <w:rsid w:val="7672217C"/>
    <w:rsid w:val="76A12DC3"/>
    <w:rsid w:val="76A77394"/>
    <w:rsid w:val="76D15B17"/>
    <w:rsid w:val="77186B1E"/>
    <w:rsid w:val="77645C7D"/>
    <w:rsid w:val="777439C1"/>
    <w:rsid w:val="778B1158"/>
    <w:rsid w:val="77961505"/>
    <w:rsid w:val="77B15DF4"/>
    <w:rsid w:val="77B856B5"/>
    <w:rsid w:val="78076895"/>
    <w:rsid w:val="78091695"/>
    <w:rsid w:val="780A7F4E"/>
    <w:rsid w:val="78151AE7"/>
    <w:rsid w:val="781D0ABF"/>
    <w:rsid w:val="782B5948"/>
    <w:rsid w:val="78602ABF"/>
    <w:rsid w:val="78665FE4"/>
    <w:rsid w:val="786E0FFE"/>
    <w:rsid w:val="78A93133"/>
    <w:rsid w:val="78C37715"/>
    <w:rsid w:val="78D02FB6"/>
    <w:rsid w:val="78E43768"/>
    <w:rsid w:val="78E47082"/>
    <w:rsid w:val="78FD3867"/>
    <w:rsid w:val="79214FA6"/>
    <w:rsid w:val="792813D9"/>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2E5C6D"/>
    <w:rsid w:val="7A303322"/>
    <w:rsid w:val="7A7F6A39"/>
    <w:rsid w:val="7A9A2995"/>
    <w:rsid w:val="7A9E37B9"/>
    <w:rsid w:val="7AA85A57"/>
    <w:rsid w:val="7AA97571"/>
    <w:rsid w:val="7AD1328F"/>
    <w:rsid w:val="7AF26D81"/>
    <w:rsid w:val="7AF464E6"/>
    <w:rsid w:val="7AF6549D"/>
    <w:rsid w:val="7B014170"/>
    <w:rsid w:val="7B1A61F8"/>
    <w:rsid w:val="7B5C346C"/>
    <w:rsid w:val="7B5E5C27"/>
    <w:rsid w:val="7B652196"/>
    <w:rsid w:val="7B762D9E"/>
    <w:rsid w:val="7B784952"/>
    <w:rsid w:val="7B7C479D"/>
    <w:rsid w:val="7B7E15E7"/>
    <w:rsid w:val="7B8469A9"/>
    <w:rsid w:val="7B920A5D"/>
    <w:rsid w:val="7BA1455F"/>
    <w:rsid w:val="7BCC7A90"/>
    <w:rsid w:val="7BDC1294"/>
    <w:rsid w:val="7BE975D0"/>
    <w:rsid w:val="7BF2190A"/>
    <w:rsid w:val="7C010589"/>
    <w:rsid w:val="7C160D02"/>
    <w:rsid w:val="7C1637C1"/>
    <w:rsid w:val="7C1E537F"/>
    <w:rsid w:val="7C4706AF"/>
    <w:rsid w:val="7C526D30"/>
    <w:rsid w:val="7C574088"/>
    <w:rsid w:val="7C5D6386"/>
    <w:rsid w:val="7C921F5C"/>
    <w:rsid w:val="7C9D2374"/>
    <w:rsid w:val="7CAC42FA"/>
    <w:rsid w:val="7CD97C96"/>
    <w:rsid w:val="7CEA2FFC"/>
    <w:rsid w:val="7CEE6BA3"/>
    <w:rsid w:val="7CF36D0A"/>
    <w:rsid w:val="7CFD68A1"/>
    <w:rsid w:val="7D004B90"/>
    <w:rsid w:val="7D09176A"/>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8B6473"/>
    <w:rsid w:val="7E950FE9"/>
    <w:rsid w:val="7EA454D3"/>
    <w:rsid w:val="7EAD45A1"/>
    <w:rsid w:val="7EC009E8"/>
    <w:rsid w:val="7ED16523"/>
    <w:rsid w:val="7EE83A26"/>
    <w:rsid w:val="7EF96B1E"/>
    <w:rsid w:val="7F1A7969"/>
    <w:rsid w:val="7F353C06"/>
    <w:rsid w:val="7F410352"/>
    <w:rsid w:val="7F440F7A"/>
    <w:rsid w:val="7F510226"/>
    <w:rsid w:val="7F5611F0"/>
    <w:rsid w:val="7F5E5DAF"/>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3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32"/>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33"/>
    <w:qFormat/>
    <w:uiPriority w:val="0"/>
    <w:pPr>
      <w:numPr>
        <w:ilvl w:val="2"/>
      </w:numPr>
      <w:spacing w:before="120"/>
      <w:outlineLvl w:val="2"/>
    </w:pPr>
    <w:rPr>
      <w:sz w:val="24"/>
    </w:rPr>
  </w:style>
  <w:style w:type="paragraph" w:styleId="5">
    <w:name w:val="heading 4"/>
    <w:basedOn w:val="4"/>
    <w:next w:val="1"/>
    <w:unhideWhenUsed/>
    <w:qFormat/>
    <w:uiPriority w:val="9"/>
    <w:pPr>
      <w:spacing w:beforeLines="0" w:afterLines="0" w:line="372" w:lineRule="auto"/>
      <w:outlineLvl w:val="3"/>
    </w:pPr>
    <w:rPr>
      <w:rFonts w:eastAsia="黑体"/>
      <w:b/>
      <w:sz w:val="28"/>
    </w:rPr>
  </w:style>
  <w:style w:type="paragraph" w:styleId="6">
    <w:name w:val="heading 5"/>
    <w:basedOn w:val="5"/>
    <w:next w:val="1"/>
    <w:unhideWhenUsed/>
    <w:qFormat/>
    <w:uiPriority w:val="9"/>
    <w:pPr>
      <w:spacing w:before="10" w:after="10" w:line="240" w:lineRule="auto"/>
      <w:outlineLvl w:val="4"/>
    </w:pPr>
    <w:rPr>
      <w:rFonts w:ascii="Times New Roman" w:hAnsi="Times New Roman" w:eastAsia="宋体"/>
      <w:sz w:val="21"/>
      <w:u w:val="single"/>
    </w:rPr>
  </w:style>
  <w:style w:type="paragraph" w:styleId="7">
    <w:name w:val="heading 6"/>
    <w:basedOn w:val="8"/>
    <w:next w:val="1"/>
    <w:qFormat/>
    <w:uiPriority w:val="0"/>
    <w:pPr>
      <w:outlineLvl w:val="5"/>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caption"/>
    <w:basedOn w:val="1"/>
    <w:next w:val="1"/>
    <w:unhideWhenUsed/>
    <w:qFormat/>
    <w:uiPriority w:val="99"/>
    <w:rPr>
      <w:rFonts w:ascii="Arial" w:hAnsi="Arial" w:eastAsia="黑体"/>
      <w:sz w:val="20"/>
    </w:rPr>
  </w:style>
  <w:style w:type="paragraph" w:styleId="13">
    <w:name w:val="Document Map"/>
    <w:basedOn w:val="1"/>
    <w:link w:val="52"/>
    <w:semiHidden/>
    <w:unhideWhenUsed/>
    <w:qFormat/>
    <w:uiPriority w:val="99"/>
    <w:rPr>
      <w:rFonts w:ascii="宋体"/>
      <w:sz w:val="18"/>
      <w:szCs w:val="18"/>
    </w:rPr>
  </w:style>
  <w:style w:type="paragraph" w:styleId="14">
    <w:name w:val="annotation text"/>
    <w:basedOn w:val="1"/>
    <w:link w:val="34"/>
    <w:qFormat/>
    <w:uiPriority w:val="0"/>
  </w:style>
  <w:style w:type="paragraph" w:styleId="15">
    <w:name w:val="Body Text"/>
    <w:basedOn w:val="1"/>
    <w:qFormat/>
    <w:uiPriority w:val="0"/>
    <w:pPr>
      <w:spacing w:after="120"/>
    </w:pPr>
    <w:rPr>
      <w:rFonts w:ascii="Times" w:hAnsi="Times"/>
      <w:szCs w:val="24"/>
    </w:rPr>
  </w:style>
  <w:style w:type="paragraph" w:styleId="16">
    <w:name w:val="Balloon Text"/>
    <w:basedOn w:val="1"/>
    <w:link w:val="30"/>
    <w:semiHidden/>
    <w:unhideWhenUsed/>
    <w:qFormat/>
    <w:uiPriority w:val="99"/>
    <w:rPr>
      <w:sz w:val="18"/>
      <w:szCs w:val="18"/>
    </w:rPr>
  </w:style>
  <w:style w:type="paragraph" w:styleId="17">
    <w:name w:val="footer"/>
    <w:basedOn w:val="1"/>
    <w:link w:val="35"/>
    <w:semiHidden/>
    <w:unhideWhenUsed/>
    <w:qFormat/>
    <w:uiPriority w:val="99"/>
    <w:pPr>
      <w:tabs>
        <w:tab w:val="center" w:pos="4153"/>
        <w:tab w:val="right" w:pos="8306"/>
      </w:tabs>
      <w:snapToGrid w:val="0"/>
      <w:jc w:val="left"/>
    </w:pPr>
    <w:rPr>
      <w:sz w:val="18"/>
      <w:szCs w:val="18"/>
    </w:rPr>
  </w:style>
  <w:style w:type="paragraph" w:styleId="18">
    <w:name w:val="header"/>
    <w:basedOn w:val="1"/>
    <w:link w:val="36"/>
    <w:semiHidden/>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unhideWhenUsed/>
    <w:qFormat/>
    <w:uiPriority w:val="39"/>
    <w:pPr>
      <w:tabs>
        <w:tab w:val="decimal" w:pos="0"/>
        <w:tab w:val="right" w:pos="9660"/>
      </w:tabs>
      <w:ind w:right="420" w:rightChars="200"/>
      <w:jc w:val="left"/>
    </w:pPr>
    <w:rPr>
      <w:b/>
      <w:bCs/>
      <w:i/>
      <w:iCs/>
      <w:sz w:val="20"/>
    </w:rPr>
  </w:style>
  <w:style w:type="paragraph" w:styleId="20">
    <w:name w:val="List 4"/>
    <w:basedOn w:val="9"/>
    <w:qFormat/>
    <w:uiPriority w:val="0"/>
    <w:pPr>
      <w:ind w:left="1418"/>
    </w:pPr>
  </w:style>
  <w:style w:type="paragraph" w:styleId="21">
    <w:name w:val="Normal (Web)"/>
    <w:basedOn w:val="1"/>
    <w:unhideWhenUsed/>
    <w:qFormat/>
    <w:uiPriority w:val="99"/>
    <w:pPr>
      <w:spacing w:beforeAutospacing="1" w:afterAutospacing="1"/>
      <w:jc w:val="left"/>
    </w:pPr>
    <w:rPr>
      <w:kern w:val="0"/>
      <w:sz w:val="24"/>
    </w:rPr>
  </w:style>
  <w:style w:type="paragraph" w:styleId="22">
    <w:name w:val="annotation subject"/>
    <w:basedOn w:val="14"/>
    <w:next w:val="14"/>
    <w:link w:val="42"/>
    <w:semiHidden/>
    <w:unhideWhenUsed/>
    <w:qFormat/>
    <w:uiPriority w:val="99"/>
    <w:pPr>
      <w:jc w:val="left"/>
    </w:pPr>
    <w:rPr>
      <w:b/>
      <w:bCs/>
    </w:rPr>
  </w:style>
  <w:style w:type="table" w:styleId="24">
    <w:name w:val="Table Grid"/>
    <w:basedOn w:val="23"/>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22"/>
    <w:rPr>
      <w:b/>
    </w:rPr>
  </w:style>
  <w:style w:type="character" w:styleId="27">
    <w:name w:val="page number"/>
    <w:basedOn w:val="25"/>
    <w:semiHidden/>
    <w:qFormat/>
    <w:uiPriority w:val="0"/>
  </w:style>
  <w:style w:type="character" w:styleId="28">
    <w:name w:val="Hyperlink"/>
    <w:basedOn w:val="25"/>
    <w:qFormat/>
    <w:uiPriority w:val="99"/>
    <w:rPr>
      <w:color w:val="0000FF"/>
      <w:u w:val="single"/>
    </w:rPr>
  </w:style>
  <w:style w:type="character" w:styleId="29">
    <w:name w:val="annotation reference"/>
    <w:qFormat/>
    <w:uiPriority w:val="0"/>
    <w:rPr>
      <w:sz w:val="16"/>
    </w:rPr>
  </w:style>
  <w:style w:type="character" w:customStyle="1" w:styleId="30">
    <w:name w:val="批注框文本 字符"/>
    <w:basedOn w:val="25"/>
    <w:link w:val="16"/>
    <w:semiHidden/>
    <w:qFormat/>
    <w:uiPriority w:val="99"/>
    <w:rPr>
      <w:rFonts w:ascii="Times New Roman" w:hAnsi="Times New Roman" w:eastAsia="宋体" w:cs="Times New Roman"/>
      <w:sz w:val="18"/>
      <w:szCs w:val="18"/>
    </w:rPr>
  </w:style>
  <w:style w:type="character" w:customStyle="1" w:styleId="31">
    <w:name w:val="标题 1 字符"/>
    <w:basedOn w:val="25"/>
    <w:link w:val="2"/>
    <w:qFormat/>
    <w:uiPriority w:val="0"/>
    <w:rPr>
      <w:rFonts w:ascii="Arial" w:hAnsi="Arial" w:eastAsia="MS Mincho" w:cs="Times New Roman"/>
      <w:sz w:val="32"/>
      <w:szCs w:val="20"/>
    </w:rPr>
  </w:style>
  <w:style w:type="character" w:customStyle="1" w:styleId="32">
    <w:name w:val="标题 2 字符"/>
    <w:basedOn w:val="25"/>
    <w:link w:val="3"/>
    <w:qFormat/>
    <w:uiPriority w:val="0"/>
    <w:rPr>
      <w:rFonts w:ascii="Arial" w:hAnsi="Arial" w:eastAsia="MS Mincho" w:cs="Times New Roman"/>
      <w:sz w:val="28"/>
      <w:szCs w:val="20"/>
    </w:rPr>
  </w:style>
  <w:style w:type="character" w:customStyle="1" w:styleId="33">
    <w:name w:val="标题 3 字符"/>
    <w:basedOn w:val="25"/>
    <w:link w:val="4"/>
    <w:qFormat/>
    <w:uiPriority w:val="0"/>
    <w:rPr>
      <w:rFonts w:ascii="Arial" w:hAnsi="Arial" w:eastAsia="MS Mincho" w:cs="Times New Roman"/>
      <w:sz w:val="24"/>
      <w:szCs w:val="20"/>
    </w:rPr>
  </w:style>
  <w:style w:type="character" w:customStyle="1" w:styleId="34">
    <w:name w:val="批注文字 字符"/>
    <w:basedOn w:val="25"/>
    <w:link w:val="14"/>
    <w:qFormat/>
    <w:uiPriority w:val="0"/>
    <w:rPr>
      <w:rFonts w:ascii="Times New Roman" w:hAnsi="Times New Roman" w:eastAsia="宋体" w:cs="Times New Roman"/>
      <w:szCs w:val="20"/>
    </w:rPr>
  </w:style>
  <w:style w:type="character" w:customStyle="1" w:styleId="35">
    <w:name w:val="页脚 字符"/>
    <w:basedOn w:val="25"/>
    <w:link w:val="17"/>
    <w:semiHidden/>
    <w:qFormat/>
    <w:uiPriority w:val="99"/>
    <w:rPr>
      <w:rFonts w:ascii="Times New Roman" w:hAnsi="Times New Roman" w:eastAsia="宋体" w:cs="Times New Roman"/>
      <w:sz w:val="18"/>
      <w:szCs w:val="18"/>
    </w:rPr>
  </w:style>
  <w:style w:type="character" w:customStyle="1" w:styleId="36">
    <w:name w:val="页眉 字符"/>
    <w:basedOn w:val="25"/>
    <w:link w:val="18"/>
    <w:semiHidden/>
    <w:qFormat/>
    <w:uiPriority w:val="0"/>
    <w:rPr>
      <w:rFonts w:ascii="Times New Roman" w:hAnsi="Times New Roman" w:eastAsia="宋体" w:cs="Times New Roman"/>
      <w:sz w:val="18"/>
      <w:szCs w:val="18"/>
    </w:rPr>
  </w:style>
  <w:style w:type="paragraph" w:customStyle="1" w:styleId="37">
    <w:name w:val="References"/>
    <w:basedOn w:val="1"/>
    <w:qFormat/>
    <w:uiPriority w:val="0"/>
    <w:pPr>
      <w:numPr>
        <w:ilvl w:val="0"/>
        <w:numId w:val="2"/>
      </w:numPr>
      <w:spacing w:after="60"/>
    </w:pPr>
    <w:rPr>
      <w:szCs w:val="16"/>
    </w:rPr>
  </w:style>
  <w:style w:type="paragraph" w:styleId="38">
    <w:name w:val="List Paragraph"/>
    <w:basedOn w:val="1"/>
    <w:link w:val="44"/>
    <w:qFormat/>
    <w:uiPriority w:val="34"/>
    <w:pPr>
      <w:spacing w:beforeLines="0"/>
      <w:ind w:left="720"/>
      <w:contextualSpacing/>
    </w:pPr>
    <w:rPr>
      <w:rFonts w:eastAsia="Times New Roman"/>
      <w:sz w:val="24"/>
      <w:szCs w:val="24"/>
    </w:rPr>
  </w:style>
  <w:style w:type="character" w:customStyle="1" w:styleId="39">
    <w:name w:val="font21"/>
    <w:basedOn w:val="25"/>
    <w:qFormat/>
    <w:uiPriority w:val="0"/>
    <w:rPr>
      <w:rFonts w:hint="default" w:ascii="Times New Roman" w:hAnsi="Times New Roman" w:cs="Times New Roman"/>
      <w:color w:val="000000"/>
      <w:sz w:val="20"/>
      <w:szCs w:val="20"/>
      <w:u w:val="none"/>
    </w:rPr>
  </w:style>
  <w:style w:type="character" w:customStyle="1" w:styleId="40">
    <w:name w:val="font11"/>
    <w:basedOn w:val="25"/>
    <w:qFormat/>
    <w:uiPriority w:val="0"/>
    <w:rPr>
      <w:rFonts w:hint="default" w:ascii="Symbol" w:hAnsi="Symbol" w:cs="Symbol"/>
      <w:b/>
      <w:color w:val="000000"/>
      <w:sz w:val="20"/>
      <w:szCs w:val="20"/>
      <w:u w:val="none"/>
    </w:rPr>
  </w:style>
  <w:style w:type="character" w:customStyle="1" w:styleId="41">
    <w:name w:val="font01"/>
    <w:basedOn w:val="25"/>
    <w:qFormat/>
    <w:uiPriority w:val="0"/>
    <w:rPr>
      <w:rFonts w:hint="default" w:ascii="Symbol" w:hAnsi="Symbol" w:cs="Symbol"/>
      <w:color w:val="000000"/>
      <w:sz w:val="20"/>
      <w:szCs w:val="20"/>
      <w:u w:val="none"/>
    </w:rPr>
  </w:style>
  <w:style w:type="character" w:customStyle="1" w:styleId="42">
    <w:name w:val="批注主题 字符"/>
    <w:basedOn w:val="34"/>
    <w:link w:val="22"/>
    <w:semiHidden/>
    <w:qFormat/>
    <w:uiPriority w:val="99"/>
    <w:rPr>
      <w:rFonts w:ascii="Times New Roman" w:hAnsi="Times New Roman" w:eastAsia="宋体" w:cs="Times New Roman"/>
      <w:b/>
      <w:bCs/>
      <w:kern w:val="2"/>
      <w:sz w:val="21"/>
      <w:szCs w:val="20"/>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4">
    <w:name w:val="列表段落 字符"/>
    <w:link w:val="38"/>
    <w:qFormat/>
    <w:uiPriority w:val="34"/>
    <w:rPr>
      <w:rFonts w:ascii="Times New Roman" w:hAnsi="Times New Roman" w:eastAsia="Times New Roman" w:cs="Times New Roman"/>
      <w:kern w:val="2"/>
      <w:sz w:val="24"/>
      <w:szCs w:val="24"/>
    </w:rPr>
  </w:style>
  <w:style w:type="character" w:styleId="45">
    <w:name w:val="Placeholder Text"/>
    <w:basedOn w:val="25"/>
    <w:unhideWhenUsed/>
    <w:qFormat/>
    <w:uiPriority w:val="99"/>
    <w:rPr>
      <w:color w:val="808080"/>
    </w:rPr>
  </w:style>
  <w:style w:type="paragraph" w:customStyle="1" w:styleId="46">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47">
    <w:name w:val="x_apple-converted-space"/>
    <w:qFormat/>
    <w:uiPriority w:val="0"/>
  </w:style>
  <w:style w:type="paragraph" w:customStyle="1" w:styleId="48">
    <w:name w:val="TAH"/>
    <w:basedOn w:val="49"/>
    <w:qFormat/>
    <w:uiPriority w:val="0"/>
    <w:rPr>
      <w:b/>
    </w:rPr>
  </w:style>
  <w:style w:type="paragraph" w:customStyle="1" w:styleId="49">
    <w:name w:val="TAC"/>
    <w:basedOn w:val="50"/>
    <w:qFormat/>
    <w:uiPriority w:val="0"/>
    <w:pPr>
      <w:jc w:val="center"/>
    </w:pPr>
  </w:style>
  <w:style w:type="paragraph" w:customStyle="1" w:styleId="50">
    <w:name w:val="TAL"/>
    <w:basedOn w:val="1"/>
    <w:qFormat/>
    <w:uiPriority w:val="0"/>
    <w:pPr>
      <w:keepNext/>
      <w:keepLines/>
    </w:pPr>
    <w:rPr>
      <w:rFonts w:ascii="Arial" w:hAnsi="Arial"/>
      <w:sz w:val="18"/>
    </w:rPr>
  </w:style>
  <w:style w:type="paragraph" w:customStyle="1" w:styleId="51">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2">
    <w:name w:val="文档结构图 字符"/>
    <w:basedOn w:val="25"/>
    <w:link w:val="13"/>
    <w:semiHidden/>
    <w:qFormat/>
    <w:uiPriority w:val="99"/>
    <w:rPr>
      <w:rFonts w:ascii="宋体"/>
      <w:kern w:val="2"/>
      <w:sz w:val="18"/>
      <w:szCs w:val="18"/>
    </w:rPr>
  </w:style>
  <w:style w:type="paragraph" w:customStyle="1" w:styleId="53">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4">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5">
    <w:name w:val="apple-converted-space"/>
    <w:basedOn w:val="25"/>
    <w:qFormat/>
    <w:uiPriority w:val="0"/>
  </w:style>
  <w:style w:type="paragraph" w:customStyle="1" w:styleId="56">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57">
    <w:name w:val="x_xmsonormal"/>
    <w:basedOn w:val="1"/>
    <w:qFormat/>
    <w:uiPriority w:val="0"/>
    <w:rPr>
      <w:rFonts w:ascii="宋体" w:hAnsi="宋体" w:cs="Calibri"/>
      <w:sz w:val="24"/>
    </w:rPr>
  </w:style>
  <w:style w:type="paragraph" w:customStyle="1" w:styleId="58">
    <w:name w:val="YJ-Observation"/>
    <w:basedOn w:val="1"/>
    <w:qFormat/>
    <w:uiPriority w:val="0"/>
    <w:pPr>
      <w:numPr>
        <w:ilvl w:val="0"/>
        <w:numId w:val="3"/>
      </w:numPr>
      <w:tabs>
        <w:tab w:val="left" w:pos="420"/>
      </w:tabs>
      <w:jc w:val="left"/>
    </w:pPr>
    <w:rPr>
      <w:rFonts w:eastAsiaTheme="minorEastAsia"/>
      <w:b/>
      <w:bCs/>
      <w:i/>
      <w:iCs/>
      <w:sz w:val="20"/>
      <w:lang w:val="en-GB" w:eastAsia="en-US"/>
    </w:rPr>
  </w:style>
  <w:style w:type="paragraph" w:customStyle="1" w:styleId="59">
    <w:name w:val="3GPP Normal Text"/>
    <w:basedOn w:val="15"/>
    <w:qFormat/>
    <w:uiPriority w:val="0"/>
    <w:pPr>
      <w:spacing w:after="60"/>
    </w:pPr>
    <w:rPr>
      <w:rFonts w:ascii="Times New Roman" w:hAnsi="Times New Roman" w:eastAsia="MS Mincho"/>
    </w:rPr>
  </w:style>
  <w:style w:type="paragraph" w:customStyle="1" w:styleId="60">
    <w:name w:val="List Paragraph1"/>
    <w:basedOn w:val="1"/>
    <w:qFormat/>
    <w:uiPriority w:val="0"/>
    <w:pPr>
      <w:widowControl w:val="0"/>
      <w:spacing w:beforeLines="0" w:afterLines="0" w:line="240" w:lineRule="auto"/>
      <w:ind w:firstLine="420" w:firstLineChars="200"/>
    </w:pPr>
    <w:rPr>
      <w:rFonts w:ascii="Calibri" w:hAnsi="Calibri"/>
      <w:szCs w:val="21"/>
    </w:rPr>
  </w:style>
  <w:style w:type="paragraph" w:customStyle="1" w:styleId="61">
    <w:name w:val="YJ-Proposal"/>
    <w:basedOn w:val="1"/>
    <w:qFormat/>
    <w:uiPriority w:val="0"/>
    <w:pPr>
      <w:numPr>
        <w:ilvl w:val="0"/>
        <w:numId w:val="4"/>
      </w:numPr>
      <w:jc w:val="left"/>
    </w:pPr>
    <w:rPr>
      <w:rFonts w:eastAsiaTheme="minorEastAsia"/>
      <w:b/>
      <w:bCs/>
      <w:i/>
      <w:iCs/>
      <w:sz w:val="20"/>
      <w:lang w:val="en-GB" w:eastAsia="en-US"/>
    </w:rPr>
  </w:style>
  <w:style w:type="character" w:customStyle="1" w:styleId="62">
    <w:name w:val="contentpasted2"/>
    <w:basedOn w:val="25"/>
    <w:qFormat/>
    <w:uiPriority w:val="0"/>
  </w:style>
  <w:style w:type="paragraph" w:customStyle="1" w:styleId="63">
    <w:name w:val="TH"/>
    <w:basedOn w:val="1"/>
    <w:qFormat/>
    <w:uiPriority w:val="0"/>
    <w:pPr>
      <w:keepNext/>
      <w:keepLines/>
      <w:spacing w:before="60" w:after="180"/>
      <w:jc w:val="center"/>
    </w:pPr>
    <w:rPr>
      <w:rFonts w:ascii="Arial" w:hAnsi="Arial" w:eastAsia="Times New Roman"/>
      <w:b/>
      <w:sz w:val="20"/>
      <w:lang w:val="en-GB"/>
    </w:rPr>
  </w:style>
  <w:style w:type="paragraph" w:customStyle="1" w:styleId="64">
    <w:name w:val="B1"/>
    <w:basedOn w:val="11"/>
    <w:qFormat/>
    <w:uiPriority w:val="0"/>
  </w:style>
  <w:style w:type="paragraph" w:customStyle="1" w:styleId="65">
    <w:name w:val="B2"/>
    <w:basedOn w:val="10"/>
    <w:qFormat/>
    <w:uiPriority w:val="0"/>
  </w:style>
  <w:style w:type="paragraph" w:customStyle="1" w:styleId="66">
    <w:name w:val="B3"/>
    <w:basedOn w:val="9"/>
    <w:qFormat/>
    <w:uiPriority w:val="0"/>
  </w:style>
  <w:style w:type="paragraph" w:customStyle="1" w:styleId="67">
    <w:name w:val="B4"/>
    <w:basedOn w:val="20"/>
    <w:qFormat/>
    <w:uiPriority w:val="0"/>
  </w:style>
  <w:style w:type="paragraph" w:customStyle="1" w:styleId="68">
    <w:name w:val="EQ"/>
    <w:basedOn w:val="1"/>
    <w:next w:val="1"/>
    <w:qFormat/>
    <w:uiPriority w:val="0"/>
    <w:pPr>
      <w:keepLines/>
      <w:tabs>
        <w:tab w:val="center" w:pos="4536"/>
        <w:tab w:val="right" w:pos="9072"/>
      </w:tabs>
    </w:pPr>
  </w:style>
  <w:style w:type="paragraph" w:customStyle="1" w:styleId="69">
    <w:name w:val="listparagraph"/>
    <w:basedOn w:val="1"/>
    <w:qFormat/>
    <w:uiPriority w:val="99"/>
    <w:pPr>
      <w:spacing w:line="252" w:lineRule="auto"/>
      <w:ind w:left="720"/>
    </w:pPr>
    <w:rPr>
      <w:rFonts w:ascii="Calibri" w:hAnsi="Calibri" w:eastAsia="Calibri" w:cs="Calibri"/>
      <w:sz w:val="22"/>
      <w:szCs w:val="22"/>
    </w:rPr>
  </w:style>
  <w:style w:type="paragraph" w:customStyle="1" w:styleId="70">
    <w:name w:val="样式 Arial 11 磅 加粗 左侧:  0 厘米 悬挂缩进: 19.87 字符 段前: 0.5 行 段后: 0...."/>
    <w:basedOn w:val="1"/>
    <w:qFormat/>
    <w:uiPriority w:val="0"/>
    <w:pPr>
      <w:spacing w:after="0"/>
      <w:ind w:left="1985" w:hanging="1985"/>
    </w:pPr>
    <w:rPr>
      <w:rFonts w:ascii="Arial" w:hAnsi="Arial" w:cs="宋体"/>
      <w:b/>
      <w:bCs/>
      <w:sz w:val="22"/>
    </w:rPr>
  </w:style>
  <w:style w:type="paragraph" w:customStyle="1" w:styleId="71">
    <w:name w:val="Bold Comments"/>
    <w:basedOn w:val="72"/>
    <w:qFormat/>
    <w:uiPriority w:val="0"/>
    <w:rPr>
      <w:lang w:val="zh-CN"/>
    </w:rPr>
  </w:style>
  <w:style w:type="paragraph" w:customStyle="1" w:styleId="72">
    <w:name w:val="SubHeading"/>
    <w:basedOn w:val="1"/>
    <w:next w:val="73"/>
    <w:qFormat/>
    <w:uiPriority w:val="0"/>
    <w:pPr>
      <w:spacing w:before="240" w:after="60"/>
      <w:outlineLvl w:val="8"/>
    </w:pPr>
    <w:rPr>
      <w:b/>
    </w:rPr>
  </w:style>
  <w:style w:type="paragraph" w:customStyle="1" w:styleId="73">
    <w:name w:val="Doc-title"/>
    <w:basedOn w:val="1"/>
    <w:next w:val="74"/>
    <w:qFormat/>
    <w:uiPriority w:val="0"/>
    <w:pPr>
      <w:spacing w:before="60"/>
      <w:ind w:left="1259" w:hanging="1259"/>
    </w:pPr>
  </w:style>
  <w:style w:type="paragraph" w:customStyle="1" w:styleId="74">
    <w:name w:val="Doc-text2"/>
    <w:basedOn w:val="1"/>
    <w:qFormat/>
    <w:uiPriority w:val="0"/>
    <w:pPr>
      <w:tabs>
        <w:tab w:val="left" w:pos="1622"/>
      </w:tabs>
      <w:ind w:left="1622" w:hanging="363"/>
    </w:pPr>
  </w:style>
  <w:style w:type="paragraph" w:customStyle="1" w:styleId="75">
    <w:name w:val="Agreement"/>
    <w:basedOn w:val="1"/>
    <w:next w:val="74"/>
    <w:qFormat/>
    <w:uiPriority w:val="99"/>
    <w:pPr>
      <w:numPr>
        <w:ilvl w:val="0"/>
        <w:numId w:val="5"/>
      </w:numPr>
      <w:tabs>
        <w:tab w:val="left" w:pos="1619"/>
        <w:tab w:val="clear" w:pos="3620"/>
      </w:tabs>
      <w:spacing w:before="60"/>
      <w:ind w:left="1619"/>
    </w:pPr>
    <w:rPr>
      <w:b/>
    </w:rPr>
  </w:style>
  <w:style w:type="paragraph" w:customStyle="1" w:styleId="76">
    <w:name w:val="修订3"/>
    <w:hidden/>
    <w:unhideWhenUsed/>
    <w:qFormat/>
    <w:uiPriority w:val="99"/>
    <w:rPr>
      <w:rFonts w:ascii="Times New Roman" w:hAnsi="Times New Roman" w:eastAsia="宋体" w:cs="Times New Roman"/>
      <w:kern w:val="2"/>
      <w:sz w:val="21"/>
      <w:lang w:val="en-US" w:eastAsia="zh-CN" w:bidi="ar-SA"/>
    </w:rPr>
  </w:style>
  <w:style w:type="paragraph" w:customStyle="1" w:styleId="77">
    <w:name w:val="修订4"/>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emf"/><Relationship Id="rId16" Type="http://schemas.openxmlformats.org/officeDocument/2006/relationships/image" Target="media/image5.png"/><Relationship Id="rId15" Type="http://schemas.openxmlformats.org/officeDocument/2006/relationships/image" Target="media/image4.emf"/><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67CF3E-9306-4900-8522-7AFC94F6EBE7}">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4270</Words>
  <Characters>24340</Characters>
  <Lines>202</Lines>
  <Paragraphs>57</Paragraphs>
  <TotalTime>4</TotalTime>
  <ScaleCrop>false</ScaleCrop>
  <LinksUpToDate>false</LinksUpToDate>
  <CharactersWithSpaces>28553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2023-11-30T10:10:00Z</dcterms:created>
  <dc:creator>YuzhouHu</dc:creator>
  <cp:lastModifiedBy>ZTE, Jiajun Xu</cp:lastModifiedBy>
  <dcterms:modified xsi:type="dcterms:W3CDTF">2023-12-04T07:07:31Z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B94E7CD96B39405DB281158F8AB3C263</vt:lpwstr>
  </property>
</Properties>
</file>